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5F7156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 Præstø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5F7156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 Præstø, Rosagervej 37, 4720 Præstø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5F7156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Helle Hansen (distriktsleder), Vivi Weinell (ass. distriktsleder) og Ditte Kaarde (ass. distriktsleder)</w:t>
            </w: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5F7156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30/9 2019, dagvagt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3448C7" w:rsidRPr="00293D73" w:rsidRDefault="003448C7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Dokumentation:</w:t>
            </w:r>
            <w:r w:rsidR="005F7156">
              <w:rPr>
                <w:rFonts w:cstheme="minorHAnsi"/>
                <w:sz w:val="28"/>
                <w:szCs w:val="28"/>
              </w:rPr>
              <w:t xml:space="preserve"> 3</w:t>
            </w:r>
            <w:r w:rsidRPr="003448C7">
              <w:rPr>
                <w:rFonts w:cstheme="minorHAnsi"/>
                <w:sz w:val="28"/>
                <w:szCs w:val="28"/>
              </w:rPr>
              <w:t xml:space="preserve"> antal pleje- og omsorgsjournaler, vejledninger</w:t>
            </w:r>
            <w:r w:rsidRPr="00293D73">
              <w:rPr>
                <w:rFonts w:cstheme="minorHAnsi"/>
                <w:sz w:val="28"/>
                <w:szCs w:val="28"/>
              </w:rPr>
              <w:t>.</w:t>
            </w:r>
          </w:p>
          <w:p w:rsidR="003448C7" w:rsidRPr="00293D73" w:rsidRDefault="005F7156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Samtale</w:t>
            </w:r>
            <w:r w:rsidR="003448C7" w:rsidRPr="003448C7">
              <w:rPr>
                <w:rFonts w:cstheme="minorHAnsi"/>
                <w:b/>
                <w:sz w:val="28"/>
                <w:szCs w:val="28"/>
              </w:rPr>
              <w:t>:</w:t>
            </w:r>
            <w:r w:rsidR="003448C7" w:rsidRPr="003448C7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Samtale med 3</w:t>
            </w:r>
            <w:r w:rsidR="003448C7" w:rsidRPr="003448C7">
              <w:rPr>
                <w:rFonts w:cstheme="minorHAnsi"/>
                <w:sz w:val="28"/>
                <w:szCs w:val="28"/>
              </w:rPr>
              <w:t xml:space="preserve"> borgere. De er</w:t>
            </w:r>
            <w:r w:rsidR="00293D73">
              <w:rPr>
                <w:rFonts w:cstheme="minorHAnsi"/>
                <w:sz w:val="28"/>
                <w:szCs w:val="28"/>
              </w:rPr>
              <w:t xml:space="preserve"> </w:t>
            </w:r>
            <w:r w:rsidR="003448C7" w:rsidRPr="00293D73">
              <w:rPr>
                <w:rFonts w:cstheme="minorHAnsi"/>
                <w:sz w:val="28"/>
                <w:szCs w:val="28"/>
              </w:rPr>
              <w:t>informeret om formålet med tilsynet og har givet</w:t>
            </w:r>
            <w:r>
              <w:rPr>
                <w:rFonts w:cstheme="minorHAnsi"/>
                <w:sz w:val="28"/>
                <w:szCs w:val="28"/>
              </w:rPr>
              <w:t xml:space="preserve"> tilsagn om at deltage i tilsynet</w:t>
            </w:r>
            <w:r w:rsidR="003448C7" w:rsidRPr="00293D73">
              <w:rPr>
                <w:rFonts w:cstheme="minorHAnsi"/>
                <w:sz w:val="28"/>
                <w:szCs w:val="28"/>
              </w:rPr>
              <w:t>. Desuden har</w:t>
            </w:r>
            <w:r w:rsidR="00293D73">
              <w:rPr>
                <w:rFonts w:cstheme="minorHAnsi"/>
                <w:sz w:val="28"/>
                <w:szCs w:val="28"/>
              </w:rPr>
              <w:t xml:space="preserve"> </w:t>
            </w:r>
            <w:r w:rsidR="00DC68D9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medarbejder delt</w:t>
            </w:r>
            <w:r w:rsidR="00DC68D9">
              <w:rPr>
                <w:rFonts w:cstheme="minorHAnsi"/>
                <w:sz w:val="28"/>
                <w:szCs w:val="28"/>
              </w:rPr>
              <w:t>aget. Der er afrapporteret til 1</w:t>
            </w:r>
            <w:r>
              <w:rPr>
                <w:rFonts w:cstheme="minorHAnsi"/>
                <w:sz w:val="28"/>
                <w:szCs w:val="28"/>
              </w:rPr>
              <w:t xml:space="preserve"> leder efter tilsynet.</w:t>
            </w:r>
          </w:p>
          <w:p w:rsidR="003448C7" w:rsidRPr="00293D73" w:rsidRDefault="003448C7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Observation:</w:t>
            </w:r>
            <w:r w:rsidRPr="003448C7">
              <w:rPr>
                <w:rFonts w:cstheme="minorHAnsi"/>
                <w:sz w:val="28"/>
                <w:szCs w:val="28"/>
              </w:rPr>
              <w:t xml:space="preserve"> Borgers bolig, borgers tilstand, personlige hjælpemidler, samvær mellem</w:t>
            </w:r>
            <w:r w:rsidR="00293D73">
              <w:rPr>
                <w:rFonts w:cstheme="minorHAnsi"/>
                <w:sz w:val="28"/>
                <w:szCs w:val="28"/>
              </w:rPr>
              <w:t xml:space="preserve"> </w:t>
            </w:r>
            <w:r w:rsidRPr="00293D73">
              <w:rPr>
                <w:rFonts w:cstheme="minorHAnsi"/>
                <w:sz w:val="28"/>
                <w:szCs w:val="28"/>
              </w:rPr>
              <w:t>medarbejder og borger, medarbejders adfærd, 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5F7156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Fagspecialist Charlotte Nielsen</w:t>
            </w:r>
            <w:r w:rsidR="00997CFD">
              <w:rPr>
                <w:sz w:val="28"/>
                <w:szCs w:val="28"/>
              </w:rPr>
              <w:t>, ved journalgennemgang deltog visitator Helle Rasmussen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</w:tbl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5F7156" w:rsidRDefault="005F7156" w:rsidP="003448C7">
      <w:pPr>
        <w:rPr>
          <w:b/>
          <w:sz w:val="36"/>
          <w:szCs w:val="36"/>
        </w:rPr>
      </w:pPr>
    </w:p>
    <w:p w:rsidR="005F7156" w:rsidRDefault="005F7156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5F7156" w:rsidRDefault="005F7156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lastRenderedPageBreak/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62"/>
        <w:gridCol w:w="7030"/>
        <w:gridCol w:w="1236"/>
      </w:tblGrid>
      <w:tr w:rsidR="003448C7" w:rsidRPr="00967C59" w:rsidTr="009934B9">
        <w:tc>
          <w:tcPr>
            <w:tcW w:w="9628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DC68D9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C68D9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C68D9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236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C68D9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236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C68D9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DC68D9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Kvalitet, tværfaglighed og sammenhæng i plejen lever op til det vedtagne</w:t>
            </w:r>
          </w:p>
        </w:tc>
        <w:tc>
          <w:tcPr>
            <w:tcW w:w="1236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7CFD" w:rsidRPr="00967C59" w:rsidTr="00997CFD">
        <w:tc>
          <w:tcPr>
            <w:tcW w:w="1362" w:type="dxa"/>
            <w:shd w:val="clear" w:color="auto" w:fill="BFBFBF" w:themeFill="background1" w:themeFillShade="BF"/>
          </w:tcPr>
          <w:p w:rsidR="00997CFD" w:rsidRPr="00967C59" w:rsidRDefault="00997CFD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997CFD" w:rsidRPr="00967C59" w:rsidRDefault="00997CFD" w:rsidP="003448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236" w:type="dxa"/>
          </w:tcPr>
          <w:p w:rsidR="00997CFD" w:rsidRPr="00967C59" w:rsidRDefault="00997CFD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934B9" w:rsidRDefault="009934B9" w:rsidP="00967C59">
      <w:pPr>
        <w:rPr>
          <w:rFonts w:cstheme="minorHAnsi"/>
          <w:b/>
          <w:i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A8D08D" w:themeFill="accent6" w:themeFillTint="99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934B9" w:rsidRDefault="009934B9" w:rsidP="00967C59">
      <w:pPr>
        <w:rPr>
          <w:rFonts w:cstheme="minorHAnsi"/>
          <w:sz w:val="24"/>
          <w:szCs w:val="24"/>
        </w:rPr>
      </w:pPr>
    </w:p>
    <w:p w:rsidR="009934B9" w:rsidRDefault="009934B9" w:rsidP="00967C59">
      <w:pPr>
        <w:rPr>
          <w:rFonts w:cstheme="minorHAnsi"/>
          <w:sz w:val="24"/>
          <w:szCs w:val="24"/>
        </w:rPr>
      </w:pPr>
    </w:p>
    <w:p w:rsidR="009934B9" w:rsidRDefault="009934B9" w:rsidP="00967C59">
      <w:pPr>
        <w:rPr>
          <w:rFonts w:cstheme="minorHAnsi"/>
          <w:sz w:val="24"/>
          <w:szCs w:val="24"/>
        </w:rPr>
      </w:pPr>
    </w:p>
    <w:p w:rsidR="00A95FCC" w:rsidRPr="00A95FCC" w:rsidRDefault="00A95FCC" w:rsidP="00A95FCC">
      <w:pPr>
        <w:rPr>
          <w:b/>
          <w:sz w:val="28"/>
          <w:szCs w:val="28"/>
        </w:rPr>
      </w:pPr>
      <w:r w:rsidRPr="00A95FCC">
        <w:rPr>
          <w:b/>
          <w:sz w:val="28"/>
          <w:szCs w:val="28"/>
        </w:rPr>
        <w:lastRenderedPageBreak/>
        <w:t>Tilsynets opsummering af styrker og udfordringer</w:t>
      </w:r>
    </w:p>
    <w:p w:rsidR="00A95FCC" w:rsidRPr="002E028D" w:rsidRDefault="00A95FCC" w:rsidP="00A95FCC">
      <w:pPr>
        <w:rPr>
          <w:sz w:val="24"/>
          <w:szCs w:val="24"/>
        </w:rPr>
      </w:pPr>
      <w:r w:rsidRPr="002E028D">
        <w:rPr>
          <w:sz w:val="24"/>
          <w:szCs w:val="24"/>
        </w:rPr>
        <w:t>Nedenstående skema angives begrundelsen for tilsynsresultatet. For det første beskrives de styrker,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5FCC" w:rsidRPr="00A95FCC" w:rsidTr="00267771">
        <w:tc>
          <w:tcPr>
            <w:tcW w:w="9628" w:type="dxa"/>
            <w:shd w:val="clear" w:color="auto" w:fill="006666"/>
          </w:tcPr>
          <w:p w:rsidR="00A95FCC" w:rsidRPr="00A95FCC" w:rsidRDefault="00A95FCC" w:rsidP="00A95FCC">
            <w:pPr>
              <w:spacing w:after="160" w:line="259" w:lineRule="auto"/>
              <w:rPr>
                <w:sz w:val="28"/>
                <w:szCs w:val="28"/>
              </w:rPr>
            </w:pPr>
            <w:r w:rsidRPr="00A95FCC">
              <w:rPr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A95FCC" w:rsidRPr="00A95FCC" w:rsidTr="00267771">
        <w:tc>
          <w:tcPr>
            <w:tcW w:w="9628" w:type="dxa"/>
          </w:tcPr>
          <w:p w:rsidR="00A95FCC" w:rsidRPr="002E028D" w:rsidRDefault="00A95FCC" w:rsidP="00A95FC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E028D">
              <w:rPr>
                <w:sz w:val="24"/>
                <w:szCs w:val="24"/>
              </w:rPr>
              <w:t>God dialog mellem medarbejdere og borgere.</w:t>
            </w:r>
          </w:p>
          <w:p w:rsidR="00A95FCC" w:rsidRPr="002E028D" w:rsidRDefault="00A95FCC" w:rsidP="00A95FC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E028D">
              <w:rPr>
                <w:sz w:val="24"/>
                <w:szCs w:val="24"/>
              </w:rPr>
              <w:t>Der var udarbejdet en rigtig fin ernæringsplan. Men den hang kun i borgerens hjem og var ikke dokumenteret i journalen.</w:t>
            </w:r>
          </w:p>
          <w:p w:rsidR="00A95FCC" w:rsidRPr="002E028D" w:rsidRDefault="00A95FCC" w:rsidP="00A95FCC">
            <w:pPr>
              <w:ind w:left="360"/>
              <w:rPr>
                <w:sz w:val="24"/>
                <w:szCs w:val="24"/>
              </w:rPr>
            </w:pPr>
          </w:p>
          <w:p w:rsidR="00A95FCC" w:rsidRPr="00A95FCC" w:rsidRDefault="00A95FCC" w:rsidP="00A95FCC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A95FCC" w:rsidRPr="00A95FCC" w:rsidTr="00267771">
        <w:tc>
          <w:tcPr>
            <w:tcW w:w="9628" w:type="dxa"/>
            <w:shd w:val="clear" w:color="auto" w:fill="006666"/>
          </w:tcPr>
          <w:p w:rsidR="00A95FCC" w:rsidRPr="00A95FCC" w:rsidRDefault="00A95FCC" w:rsidP="00A95FCC">
            <w:pPr>
              <w:spacing w:after="160" w:line="259" w:lineRule="auto"/>
              <w:rPr>
                <w:sz w:val="28"/>
                <w:szCs w:val="28"/>
              </w:rPr>
            </w:pPr>
            <w:r w:rsidRPr="00A95FCC">
              <w:rPr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A95FCC" w:rsidRPr="00A95FCC" w:rsidTr="00267771">
        <w:tc>
          <w:tcPr>
            <w:tcW w:w="9628" w:type="dxa"/>
          </w:tcPr>
          <w:p w:rsidR="00A95FCC" w:rsidRPr="002E028D" w:rsidRDefault="00A95FCC" w:rsidP="00A95FC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028D">
              <w:rPr>
                <w:sz w:val="24"/>
                <w:szCs w:val="24"/>
              </w:rPr>
              <w:t>Fokus på dokumentation, da den var meget mangelfuld.</w:t>
            </w:r>
          </w:p>
          <w:p w:rsidR="00A95FCC" w:rsidRPr="002E028D" w:rsidRDefault="00A95FCC" w:rsidP="00A95FC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028D">
              <w:rPr>
                <w:sz w:val="24"/>
                <w:szCs w:val="24"/>
              </w:rPr>
              <w:t>Der blev ikke dokumenteret vægt til trods for ernæringsindsat. Og handleplanen for indsatsen, var heller ikke dokumenteret.</w:t>
            </w:r>
          </w:p>
          <w:p w:rsidR="00A95FCC" w:rsidRPr="002E028D" w:rsidRDefault="00A95FCC" w:rsidP="00A95FC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028D">
              <w:rPr>
                <w:sz w:val="24"/>
                <w:szCs w:val="24"/>
              </w:rPr>
              <w:t>Fokus på håndhygiejne og uniformsetikette, således at der ikke er ur på armen og langeærmer, når der skal udføres pleje af CVK.</w:t>
            </w:r>
          </w:p>
          <w:p w:rsidR="00A95FCC" w:rsidRPr="00A95FCC" w:rsidRDefault="00A95FCC" w:rsidP="00A95FCC">
            <w:pPr>
              <w:spacing w:after="160" w:line="259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67C59" w:rsidRDefault="00967C59" w:rsidP="00967C59">
      <w:pPr>
        <w:rPr>
          <w:sz w:val="28"/>
          <w:szCs w:val="28"/>
        </w:rPr>
      </w:pPr>
    </w:p>
    <w:p w:rsidR="008F5F56" w:rsidRDefault="008F5F56" w:rsidP="00967C59">
      <w:pPr>
        <w:rPr>
          <w:sz w:val="28"/>
          <w:szCs w:val="28"/>
        </w:rPr>
      </w:pPr>
    </w:p>
    <w:p w:rsidR="008F5F56" w:rsidRDefault="008F5F56" w:rsidP="00967C59">
      <w:pPr>
        <w:rPr>
          <w:sz w:val="28"/>
          <w:szCs w:val="28"/>
        </w:rPr>
      </w:pPr>
    </w:p>
    <w:p w:rsidR="004429E6" w:rsidRDefault="004429E6" w:rsidP="00967C59">
      <w:pPr>
        <w:rPr>
          <w:b/>
          <w:sz w:val="28"/>
          <w:szCs w:val="28"/>
        </w:rPr>
        <w:sectPr w:rsidR="004429E6" w:rsidSect="004429E6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5F7156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velfærdsteknologiske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5F7156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5F7156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5F7156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Rengøringstandarden er meget afhængig af borger som bor i hjemmet.</w:t>
            </w:r>
          </w:p>
        </w:tc>
      </w:tr>
      <w:tr w:rsidR="00477BC3" w:rsidTr="00B772DA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B772DA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Sparsom dokumentation. Der dok. i notater og ikke i fokusområder (FSII) eller faglige mål (FSIII). </w:t>
            </w: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5F7156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5F7156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beskrive, hvorledes mål fastsættes i samarbejd</w:t>
            </w:r>
            <w:r>
              <w:rPr>
                <w:sz w:val="20"/>
                <w:szCs w:val="20"/>
              </w:rPr>
              <w:t xml:space="preserve">e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5F7156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4429E6">
              <w:rPr>
                <w:sz w:val="20"/>
                <w:szCs w:val="20"/>
              </w:rPr>
              <w:t xml:space="preserve"> 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5F7156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Medarbejder skal være obs på håndhygiejne. Der ses en medarbejder med ur på hånden, samt fleecetrøje på under gennemførelse af en sygeplejeprocedure, hvor hygiejne er me</w:t>
            </w:r>
            <w:r w:rsidR="00997CFD">
              <w:rPr>
                <w:b/>
                <w:sz w:val="20"/>
                <w:szCs w:val="20"/>
              </w:rPr>
              <w:t>get vigtig. Husk at hånddesinfektion,</w:t>
            </w:r>
            <w:r>
              <w:rPr>
                <w:b/>
                <w:sz w:val="20"/>
                <w:szCs w:val="20"/>
              </w:rPr>
              <w:t xml:space="preserve"> efter brug af handsker og inden start på pleje og inden hjemme forlades.</w:t>
            </w:r>
          </w:p>
        </w:tc>
      </w:tr>
      <w:tr w:rsidR="008064D0" w:rsidTr="00B772DA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Default="00B772DA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lidt dokumentation. Tilstandsområder på SUL er ikke alle udfyldt</w:t>
            </w:r>
          </w:p>
          <w:p w:rsidR="00B772DA" w:rsidRPr="00477BC3" w:rsidRDefault="00B772DA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sparsomt med relevante fagligmål på SUL eller i fokusområder. De ikke relevante mål skal afsluttes.</w:t>
            </w: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5F7156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Hvad synes du om maden </w:t>
            </w:r>
            <w:r w:rsidR="00293D73">
              <w:rPr>
                <w:sz w:val="20"/>
                <w:szCs w:val="20"/>
              </w:rPr>
              <w:t xml:space="preserve"> (hvis den kommer fra Vordingborg Madservice)</w:t>
            </w:r>
            <w:r w:rsidRPr="008064D0">
              <w:rPr>
                <w:sz w:val="20"/>
                <w:szCs w:val="20"/>
              </w:rPr>
              <w:t xml:space="preserve"> frokost, aftensmad?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Bliver der lyttet til dine ønsker, når du kommer med forslag til maden eller menuen?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5F7156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 lidt ked af kødbollerne var svære at tygge.</w:t>
            </w:r>
          </w:p>
        </w:tc>
      </w:tr>
      <w:tr w:rsidR="008064D0" w:rsidRPr="00477BC3" w:rsidTr="005F7156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5F7156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Der </w:t>
            </w:r>
            <w:r w:rsidR="00C70B28">
              <w:rPr>
                <w:sz w:val="20"/>
                <w:szCs w:val="20"/>
              </w:rPr>
              <w:t>foreligger menuplan, som er</w:t>
            </w:r>
            <w:r>
              <w:rPr>
                <w:sz w:val="20"/>
                <w:szCs w:val="20"/>
              </w:rPr>
              <w:t xml:space="preserve"> tilgængelig for borgere og </w:t>
            </w:r>
            <w:r w:rsidRPr="008064D0">
              <w:rPr>
                <w:sz w:val="20"/>
                <w:szCs w:val="20"/>
              </w:rPr>
              <w:t>pårørende.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C70B28">
              <w:rPr>
                <w:sz w:val="20"/>
                <w:szCs w:val="20"/>
              </w:rPr>
              <w:t>at der serveres varm mad og</w:t>
            </w:r>
            <w:r w:rsidRPr="008064D0">
              <w:rPr>
                <w:sz w:val="20"/>
                <w:szCs w:val="20"/>
              </w:rPr>
              <w:t xml:space="preserve"> 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Default="005F7156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Maden var varmet, men borger var ikke tilfreds med temperaturen på maden. Syntes den var for kold.</w:t>
            </w:r>
          </w:p>
          <w:p w:rsidR="005F7156" w:rsidRPr="00477BC3" w:rsidRDefault="005F7156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ernæringsskema hos en enkelt borger</w:t>
            </w:r>
          </w:p>
        </w:tc>
      </w:tr>
      <w:tr w:rsidR="008064D0" w:rsidRPr="00477BC3" w:rsidTr="005F7156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 w:rsidR="00293D73">
              <w:rPr>
                <w:sz w:val="20"/>
                <w:szCs w:val="20"/>
              </w:rPr>
              <w:t>sanseindtryk, medinddragelse, og ryddelighed.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A95F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enkelt</w:t>
            </w:r>
            <w:r w:rsidR="005F7156">
              <w:rPr>
                <w:b/>
                <w:sz w:val="20"/>
                <w:szCs w:val="20"/>
              </w:rPr>
              <w:t xml:space="preserve">e borger bor forskelligt. </w:t>
            </w:r>
          </w:p>
        </w:tc>
      </w:tr>
      <w:tr w:rsidR="008064D0" w:rsidRPr="00477BC3" w:rsidTr="00B772DA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B772DA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 vejes ikke. Dette til trods for at en borger havde ernæringsskema hængende i hjemme omkring hvilke ernæringsdrikke og andre tiltag, for at denne borger kunne holde vægten. </w:t>
            </w:r>
          </w:p>
        </w:tc>
      </w:tr>
      <w:tr w:rsidR="004429E6" w:rsidRPr="00477BC3" w:rsidTr="00B772DA">
        <w:tc>
          <w:tcPr>
            <w:tcW w:w="846" w:type="dxa"/>
            <w:shd w:val="clear" w:color="auto" w:fill="D9D9D9" w:themeFill="background1" w:themeFillShade="D9"/>
          </w:tcPr>
          <w:p w:rsidR="004429E6" w:rsidRDefault="004429E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429E6" w:rsidRPr="00F5754F" w:rsidRDefault="004429E6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0000"/>
          </w:tcPr>
          <w:p w:rsidR="004429E6" w:rsidRPr="00477BC3" w:rsidRDefault="004429E6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429E6" w:rsidRPr="00477BC3" w:rsidRDefault="00B772DA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Underernæret borger som sidder i kørestol burde scores.</w:t>
            </w:r>
          </w:p>
        </w:tc>
      </w:tr>
      <w:tr w:rsidR="008064D0" w:rsidRPr="00477BC3" w:rsidTr="00B772DA">
        <w:tc>
          <w:tcPr>
            <w:tcW w:w="846" w:type="dxa"/>
          </w:tcPr>
          <w:p w:rsidR="008064D0" w:rsidRPr="00477BC3" w:rsidRDefault="004429E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B772DA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Ernæringsindsatser som ses iværksat ude i borgeres hjem, ses ikke dokumenteret i journalen.</w:t>
            </w: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EF5D8C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</w:t>
            </w:r>
            <w:r w:rsidR="00293D73">
              <w:rPr>
                <w:sz w:val="20"/>
                <w:szCs w:val="20"/>
              </w:rPr>
              <w:t>es</w:t>
            </w:r>
            <w:r w:rsidRPr="00F5754F">
              <w:rPr>
                <w:sz w:val="20"/>
                <w:szCs w:val="20"/>
              </w:rPr>
              <w:t>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EF5D8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Flere af borgerne kommer på Multicentrets aktivitetscenter eller til træning.</w:t>
            </w:r>
          </w:p>
        </w:tc>
      </w:tr>
      <w:tr w:rsidR="00F5754F" w:rsidRPr="00477BC3" w:rsidTr="00EF5D8C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B772DA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Frivillige, organisationer og andre inddrages for at understøtte etablering af tilbud.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B772DA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 ikke</w:t>
            </w:r>
          </w:p>
        </w:tc>
      </w:tr>
      <w:tr w:rsidR="00F5754F" w:rsidRPr="00477BC3" w:rsidTr="00B772DA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B772DA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Dette er ikke vurderet </w:t>
            </w:r>
          </w:p>
        </w:tc>
      </w:tr>
      <w:tr w:rsidR="00F5754F" w:rsidRPr="00477BC3" w:rsidTr="00EF5D8C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293D73" w:rsidRDefault="00293D73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EF5D8C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Hvor tilfreds er du med </w:t>
            </w:r>
            <w:r w:rsidR="00EF5D8C">
              <w:rPr>
                <w:sz w:val="20"/>
                <w:szCs w:val="20"/>
              </w:rPr>
              <w:t>den rengøring du modtager fra hjemmeplejen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EF5D8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Ikke alle fik hjælp til rengøring</w:t>
            </w:r>
          </w:p>
        </w:tc>
      </w:tr>
      <w:tr w:rsidR="00F5754F" w:rsidRPr="00477BC3" w:rsidTr="00EF5D8C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293D73" w:rsidP="0078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Boligen </w:t>
            </w:r>
            <w:r w:rsidR="00F5754F" w:rsidRPr="00F5754F">
              <w:rPr>
                <w:sz w:val="20"/>
                <w:szCs w:val="20"/>
              </w:rPr>
              <w:t>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EF5D8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Borgerne har forskellige standarder for rengøring og oprydning</w:t>
            </w:r>
          </w:p>
        </w:tc>
      </w:tr>
      <w:tr w:rsidR="00F5754F" w:rsidRPr="00477BC3" w:rsidTr="00EF5D8C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293D73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5754F" w:rsidRPr="00F5754F">
              <w:rPr>
                <w:sz w:val="20"/>
                <w:szCs w:val="20"/>
              </w:rPr>
              <w:t>ommunikation</w:t>
            </w:r>
            <w:r>
              <w:rPr>
                <w:sz w:val="20"/>
                <w:szCs w:val="20"/>
              </w:rPr>
              <w:t xml:space="preserve">en </w:t>
            </w:r>
            <w:r w:rsidR="00F5754F" w:rsidRPr="00F5754F">
              <w:rPr>
                <w:sz w:val="20"/>
                <w:szCs w:val="20"/>
              </w:rPr>
              <w:t>og samvær mellem borgere</w:t>
            </w:r>
            <w:r w:rsidR="00A57799">
              <w:rPr>
                <w:sz w:val="20"/>
                <w:szCs w:val="20"/>
              </w:rPr>
              <w:t xml:space="preserve"> og medarbejdere</w:t>
            </w:r>
            <w:r>
              <w:rPr>
                <w:sz w:val="20"/>
                <w:szCs w:val="20"/>
              </w:rPr>
              <w:t xml:space="preserve"> foregår respektfuldt</w:t>
            </w:r>
            <w:r w:rsidR="00A57799">
              <w:rPr>
                <w:sz w:val="20"/>
                <w:szCs w:val="20"/>
              </w:rPr>
              <w:t xml:space="preserve"> og </w:t>
            </w:r>
            <w:r w:rsidR="00F5754F" w:rsidRPr="00F5754F">
              <w:rPr>
                <w:sz w:val="20"/>
                <w:szCs w:val="20"/>
              </w:rPr>
              <w:t>værdig</w:t>
            </w:r>
            <w:r>
              <w:rPr>
                <w:sz w:val="20"/>
                <w:szCs w:val="20"/>
              </w:rPr>
              <w:t>t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3035F7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293D73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har mulighed for at komme ud af sin bolig, for at stimulere til aktivitet,</w:t>
            </w:r>
            <w:r w:rsidR="00F5754F" w:rsidRPr="00F5754F">
              <w:rPr>
                <w:sz w:val="20"/>
                <w:szCs w:val="20"/>
              </w:rPr>
              <w:t xml:space="preserve">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="00F5754F" w:rsidRPr="00F5754F">
              <w:rPr>
                <w:sz w:val="20"/>
                <w:szCs w:val="20"/>
              </w:rPr>
              <w:t xml:space="preserve">og samvær. 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3035F7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 alle i boliger, hvor der er et godt socialt liv omkring dem</w:t>
            </w: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4429E6" w:rsidRDefault="004429E6" w:rsidP="00967C59">
      <w:pPr>
        <w:rPr>
          <w:b/>
          <w:sz w:val="28"/>
          <w:szCs w:val="28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lastRenderedPageBreak/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3035F7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C33B1C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vurde</w:t>
            </w:r>
            <w:r w:rsidR="00DC68D9">
              <w:rPr>
                <w:sz w:val="20"/>
                <w:szCs w:val="20"/>
              </w:rPr>
              <w:t>ring af assistent/demenskoordinator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780409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giver eksempler på introduktion af nye medarbejdere og den løbende kompetenceudvikling.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Beskrivelsen anskueliggør, at medarbejderes faglige kompetencer svarer til opgaverne.</w:t>
            </w:r>
          </w:p>
        </w:tc>
        <w:tc>
          <w:tcPr>
            <w:tcW w:w="1418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C33B1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 leder tilstede ved tilsyn</w:t>
            </w:r>
          </w:p>
        </w:tc>
      </w:tr>
      <w:tr w:rsidR="00A57799" w:rsidRPr="00477BC3" w:rsidTr="00B772DA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AB6671" w:rsidP="00AB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B772DA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Yderst sparsomt med dokumentationen, såvel som fagligmål og evalueringer</w:t>
            </w:r>
          </w:p>
        </w:tc>
      </w:tr>
      <w:tr w:rsidR="00A57799" w:rsidRPr="00477BC3" w:rsidTr="00B772DA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Omsorgsjournalen opdateres systematisk i forhold til borgerne</w:t>
            </w:r>
            <w:r>
              <w:rPr>
                <w:sz w:val="20"/>
                <w:szCs w:val="20"/>
              </w:rPr>
              <w:t xml:space="preserve">s individuelle behov og løbende </w:t>
            </w:r>
            <w:r w:rsidRPr="00A57799">
              <w:rPr>
                <w:sz w:val="20"/>
                <w:szCs w:val="20"/>
              </w:rPr>
              <w:t>tilpasning af hjælp og støtte</w:t>
            </w:r>
            <w:r w:rsidR="00AB6671">
              <w:rPr>
                <w:sz w:val="20"/>
                <w:szCs w:val="20"/>
              </w:rPr>
              <w:t>, så ydelserne passer</w:t>
            </w:r>
            <w:r w:rsidRPr="00A57799">
              <w:rPr>
                <w:sz w:val="20"/>
                <w:szCs w:val="20"/>
              </w:rPr>
              <w:t>. Relevante oplysninger fra eksempelvis te</w:t>
            </w:r>
            <w:r>
              <w:rPr>
                <w:sz w:val="20"/>
                <w:szCs w:val="20"/>
              </w:rPr>
              <w:t xml:space="preserve">rapeuter er lettilgængelige for </w:t>
            </w:r>
            <w:r w:rsidRPr="00A57799">
              <w:rPr>
                <w:sz w:val="20"/>
                <w:szCs w:val="20"/>
              </w:rPr>
              <w:t>assistenter og hjælpere</w:t>
            </w:r>
          </w:p>
          <w:p w:rsidR="00A57799" w:rsidRPr="00F5754F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FF00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B772DA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Generelle oplysninger er ikke udfyldt ej heller helhedsbeskrivelse.</w:t>
            </w: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B772DA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B772DA" w:rsidP="007D2826">
            <w:pPr>
              <w:rPr>
                <w:sz w:val="20"/>
                <w:szCs w:val="20"/>
              </w:rPr>
            </w:pPr>
            <w:r w:rsidRPr="00B772DA">
              <w:rPr>
                <w:sz w:val="20"/>
                <w:szCs w:val="20"/>
              </w:rPr>
              <w:t>Håndtering af medicindosering og medicinadminstration foregår efter gældende vejledninger omkring korrekt medicinhåndtering.</w:t>
            </w: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A95FCC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Dette ses ikke ved tilsynet, da alle borger selv tog deres medicin.</w:t>
            </w:r>
          </w:p>
        </w:tc>
      </w:tr>
      <w:tr w:rsidR="00C70B28" w:rsidRPr="00477BC3" w:rsidTr="007D2826">
        <w:tc>
          <w:tcPr>
            <w:tcW w:w="846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F5754F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4429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E028D" w:rsidRPr="002E028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028D" w:rsidRPr="002E028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CA63A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leje og omsorg – </w:t>
              </w:r>
              <w:r w:rsidR="005F7156">
                <w:rPr>
                  <w:caps/>
                  <w:color w:val="FFFFFF" w:themeColor="background1"/>
                  <w:sz w:val="18"/>
                  <w:szCs w:val="18"/>
                </w:rPr>
                <w:t>Præstø ude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9-30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5F7156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30-09-2019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486"/>
    <w:multiLevelType w:val="hybridMultilevel"/>
    <w:tmpl w:val="1FE01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1546"/>
    <w:multiLevelType w:val="hybridMultilevel"/>
    <w:tmpl w:val="AA0E6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101CF2"/>
    <w:rsid w:val="0010225D"/>
    <w:rsid w:val="00102BC8"/>
    <w:rsid w:val="00107276"/>
    <w:rsid w:val="0012294A"/>
    <w:rsid w:val="00150F9B"/>
    <w:rsid w:val="001516CE"/>
    <w:rsid w:val="0017045B"/>
    <w:rsid w:val="001827BF"/>
    <w:rsid w:val="001B026B"/>
    <w:rsid w:val="00201104"/>
    <w:rsid w:val="002261E0"/>
    <w:rsid w:val="00293D73"/>
    <w:rsid w:val="002B2D2A"/>
    <w:rsid w:val="002D6422"/>
    <w:rsid w:val="002E028D"/>
    <w:rsid w:val="003004B2"/>
    <w:rsid w:val="003035F7"/>
    <w:rsid w:val="00317F54"/>
    <w:rsid w:val="003448C7"/>
    <w:rsid w:val="00351EB0"/>
    <w:rsid w:val="00357605"/>
    <w:rsid w:val="00373F4D"/>
    <w:rsid w:val="003D4C69"/>
    <w:rsid w:val="004110A3"/>
    <w:rsid w:val="004429E6"/>
    <w:rsid w:val="00477BC3"/>
    <w:rsid w:val="004E05A6"/>
    <w:rsid w:val="004E4096"/>
    <w:rsid w:val="004F4D84"/>
    <w:rsid w:val="0054600A"/>
    <w:rsid w:val="005A03CF"/>
    <w:rsid w:val="005A1106"/>
    <w:rsid w:val="005B4257"/>
    <w:rsid w:val="005B7495"/>
    <w:rsid w:val="005F1577"/>
    <w:rsid w:val="005F7156"/>
    <w:rsid w:val="006A09DB"/>
    <w:rsid w:val="006A6569"/>
    <w:rsid w:val="006C17A1"/>
    <w:rsid w:val="007576F9"/>
    <w:rsid w:val="00773234"/>
    <w:rsid w:val="00797E7E"/>
    <w:rsid w:val="007B2E11"/>
    <w:rsid w:val="007E1BD0"/>
    <w:rsid w:val="007F547F"/>
    <w:rsid w:val="007F7019"/>
    <w:rsid w:val="008064D0"/>
    <w:rsid w:val="00813D21"/>
    <w:rsid w:val="00823227"/>
    <w:rsid w:val="00853D14"/>
    <w:rsid w:val="00855641"/>
    <w:rsid w:val="0086635A"/>
    <w:rsid w:val="00885624"/>
    <w:rsid w:val="008A3A94"/>
    <w:rsid w:val="008A4496"/>
    <w:rsid w:val="008A6F97"/>
    <w:rsid w:val="008B5BB5"/>
    <w:rsid w:val="008B5DE4"/>
    <w:rsid w:val="008C6C95"/>
    <w:rsid w:val="008F0BE7"/>
    <w:rsid w:val="008F325C"/>
    <w:rsid w:val="008F5F56"/>
    <w:rsid w:val="00910900"/>
    <w:rsid w:val="00931723"/>
    <w:rsid w:val="00964E5A"/>
    <w:rsid w:val="00967C59"/>
    <w:rsid w:val="00967F47"/>
    <w:rsid w:val="009836F4"/>
    <w:rsid w:val="00990B86"/>
    <w:rsid w:val="009920F3"/>
    <w:rsid w:val="009934B9"/>
    <w:rsid w:val="00997CFD"/>
    <w:rsid w:val="009B06FE"/>
    <w:rsid w:val="00A00F8A"/>
    <w:rsid w:val="00A14085"/>
    <w:rsid w:val="00A31FC5"/>
    <w:rsid w:val="00A57799"/>
    <w:rsid w:val="00A95DC5"/>
    <w:rsid w:val="00A95FCC"/>
    <w:rsid w:val="00AB6671"/>
    <w:rsid w:val="00AC0642"/>
    <w:rsid w:val="00B3421F"/>
    <w:rsid w:val="00B54FBB"/>
    <w:rsid w:val="00B65862"/>
    <w:rsid w:val="00B76497"/>
    <w:rsid w:val="00B772DA"/>
    <w:rsid w:val="00B83BB7"/>
    <w:rsid w:val="00B84D6B"/>
    <w:rsid w:val="00B94E65"/>
    <w:rsid w:val="00BA0033"/>
    <w:rsid w:val="00C33B1C"/>
    <w:rsid w:val="00C70B28"/>
    <w:rsid w:val="00C82768"/>
    <w:rsid w:val="00CA63A0"/>
    <w:rsid w:val="00CB196E"/>
    <w:rsid w:val="00CD34FC"/>
    <w:rsid w:val="00D02C58"/>
    <w:rsid w:val="00D57C7D"/>
    <w:rsid w:val="00DA49CB"/>
    <w:rsid w:val="00DA6959"/>
    <w:rsid w:val="00DC68D9"/>
    <w:rsid w:val="00ED3FDC"/>
    <w:rsid w:val="00EF3551"/>
    <w:rsid w:val="00EF5D8C"/>
    <w:rsid w:val="00F5754F"/>
    <w:rsid w:val="00F84AD1"/>
    <w:rsid w:val="00F93B8D"/>
    <w:rsid w:val="00FB3B4F"/>
    <w:rsid w:val="00FB635C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2019-09-30T00:00:00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FA14B575</Template>
  <TotalTime>290</TotalTime>
  <Pages>11</Pages>
  <Words>1939</Words>
  <Characters>11907</Characters>
  <Application>Microsoft Office Word</Application>
  <DocSecurity>0</DocSecurity>
  <Lines>496</Lines>
  <Paragraphs>256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Præstø ude</vt:lpstr>
    </vt:vector>
  </TitlesOfParts>
  <Company>Vordingborg Kommune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Præstø ude</dc:title>
  <dc:subject/>
  <dc:creator>Charlotte Birgit Nielsen</dc:creator>
  <cp:keywords/>
  <dc:description/>
  <cp:lastModifiedBy>Charlotte Birgit Nielsen</cp:lastModifiedBy>
  <cp:revision>21</cp:revision>
  <dcterms:created xsi:type="dcterms:W3CDTF">2019-09-05T12:00:00Z</dcterms:created>
  <dcterms:modified xsi:type="dcterms:W3CDTF">2020-07-13T10:58:00Z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{0E8FA52F-77DB-43F7-9688-222A9EEA1C4D}</vt:lpwstr>
  </property>
</Properties>
</file>