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86DF" w14:textId="375901F2" w:rsidR="0021683A" w:rsidRDefault="0021683A" w:rsidP="009059E3">
      <w:pPr>
        <w:pStyle w:val="Overskrift1"/>
        <w:rPr>
          <w:rFonts w:cs="Arial"/>
        </w:rPr>
      </w:pPr>
      <w:r>
        <w:rPr>
          <w:rFonts w:cs="Arial"/>
        </w:rPr>
        <w:t>TB2022</w:t>
      </w:r>
      <w:bookmarkStart w:id="0" w:name="bmkOverskrift"/>
      <w:bookmarkEnd w:id="0"/>
      <w:r w:rsidR="00FF7C74" w:rsidRPr="00FF7C74">
        <w:rPr>
          <w:rFonts w:cs="Arial"/>
        </w:rPr>
        <w:t xml:space="preserve"> </w:t>
      </w:r>
      <w:r w:rsidR="00FF7C74">
        <w:rPr>
          <w:rFonts w:cs="Arial"/>
        </w:rPr>
        <w:t>– Supplerende forklaringer i noter</w:t>
      </w:r>
    </w:p>
    <w:p w14:paraId="665DBC16" w14:textId="77777777" w:rsidR="0021683A" w:rsidRDefault="0021683A" w:rsidP="009059E3">
      <w:pPr>
        <w:pStyle w:val="Overskrift1"/>
        <w:rPr>
          <w:rFonts w:cs="Arial"/>
        </w:rPr>
      </w:pPr>
    </w:p>
    <w:p w14:paraId="68AF7362" w14:textId="77777777" w:rsidR="00FF7C74" w:rsidRDefault="00FF7C74" w:rsidP="002A0979">
      <w:pPr>
        <w:pStyle w:val="Overskrift1"/>
        <w:rPr>
          <w:rFonts w:cs="Arial"/>
        </w:rPr>
      </w:pPr>
    </w:p>
    <w:p w14:paraId="119E2AE8" w14:textId="77777777" w:rsidR="00FF7C74" w:rsidRDefault="00FF7C74" w:rsidP="002A0979">
      <w:pPr>
        <w:pStyle w:val="Overskrift1"/>
        <w:rPr>
          <w:rFonts w:cs="Arial"/>
        </w:rPr>
      </w:pPr>
    </w:p>
    <w:p w14:paraId="61D2A52D" w14:textId="77777777" w:rsidR="00FF7C74" w:rsidRDefault="00FF7C74" w:rsidP="00FF7C74">
      <w:pPr>
        <w:pStyle w:val="Overskrift1"/>
        <w:rPr>
          <w:rFonts w:cs="Arial"/>
        </w:rPr>
      </w:pPr>
    </w:p>
    <w:p w14:paraId="4BDC0FB9" w14:textId="77777777" w:rsidR="00FF7C74" w:rsidRDefault="00FF7C74" w:rsidP="00FF7C74">
      <w:pPr>
        <w:pStyle w:val="Overskrift1"/>
        <w:rPr>
          <w:rFonts w:cs="Arial"/>
        </w:rPr>
      </w:pPr>
    </w:p>
    <w:p w14:paraId="667C122D" w14:textId="6917A9DA" w:rsidR="0021683A" w:rsidRDefault="002A0979" w:rsidP="00FF7C74">
      <w:pPr>
        <w:pStyle w:val="Overskrift1"/>
      </w:pPr>
      <w:r>
        <w:rPr>
          <w:rFonts w:cs="Arial"/>
        </w:rPr>
        <w:t>Note 1</w:t>
      </w:r>
    </w:p>
    <w:p w14:paraId="1EFDD2F7" w14:textId="1738A7E2" w:rsidR="0021683A" w:rsidRDefault="009059E3" w:rsidP="0021683A">
      <w:pPr>
        <w:pBdr>
          <w:top w:val="nil"/>
          <w:left w:val="nil"/>
          <w:bottom w:val="nil"/>
          <w:right w:val="nil"/>
          <w:between w:val="nil"/>
          <w:bar w:val="nil"/>
        </w:pBdr>
      </w:pPr>
      <w:r>
        <w:t>Kørselskontorets forbrug og budget:</w:t>
      </w:r>
    </w:p>
    <w:tbl>
      <w:tblPr>
        <w:tblStyle w:val="Tabel-Gitter"/>
        <w:tblW w:w="9510" w:type="dxa"/>
        <w:tblLook w:val="04A0" w:firstRow="1" w:lastRow="0" w:firstColumn="1" w:lastColumn="0" w:noHBand="0" w:noVBand="1"/>
      </w:tblPr>
      <w:tblGrid>
        <w:gridCol w:w="2397"/>
        <w:gridCol w:w="1133"/>
        <w:gridCol w:w="254"/>
        <w:gridCol w:w="1049"/>
        <w:gridCol w:w="1315"/>
        <w:gridCol w:w="254"/>
        <w:gridCol w:w="1049"/>
        <w:gridCol w:w="2059"/>
      </w:tblGrid>
      <w:tr w:rsidR="009059E3" w14:paraId="44E901B9" w14:textId="77777777" w:rsidTr="0021683A">
        <w:trPr>
          <w:trHeight w:val="1413"/>
        </w:trPr>
        <w:tc>
          <w:tcPr>
            <w:tcW w:w="2397" w:type="dxa"/>
          </w:tcPr>
          <w:p w14:paraId="27288172" w14:textId="77777777" w:rsidR="009059E3" w:rsidRDefault="009059E3" w:rsidP="006655CF">
            <w:pPr>
              <w:pBdr>
                <w:top w:val="nil"/>
                <w:left w:val="nil"/>
                <w:bottom w:val="nil"/>
                <w:right w:val="nil"/>
                <w:between w:val="nil"/>
                <w:bar w:val="nil"/>
              </w:pBdr>
            </w:pPr>
            <w:r>
              <w:t>Offentlig trafik</w:t>
            </w:r>
          </w:p>
          <w:p w14:paraId="57FAA776" w14:textId="77777777" w:rsidR="009059E3" w:rsidRDefault="009059E3" w:rsidP="006655CF">
            <w:pPr>
              <w:pBdr>
                <w:top w:val="nil"/>
                <w:left w:val="nil"/>
                <w:bottom w:val="nil"/>
                <w:right w:val="nil"/>
                <w:between w:val="nil"/>
                <w:bar w:val="nil"/>
              </w:pBdr>
            </w:pPr>
          </w:p>
          <w:p w14:paraId="45F74AC9" w14:textId="77777777" w:rsidR="009059E3" w:rsidRDefault="009059E3" w:rsidP="006655CF">
            <w:pPr>
              <w:pBdr>
                <w:top w:val="nil"/>
                <w:left w:val="nil"/>
                <w:bottom w:val="nil"/>
                <w:right w:val="nil"/>
                <w:between w:val="nil"/>
                <w:bar w:val="nil"/>
              </w:pBdr>
            </w:pPr>
          </w:p>
          <w:p w14:paraId="3AFCD098" w14:textId="77777777" w:rsidR="009059E3" w:rsidRDefault="009059E3" w:rsidP="006655CF">
            <w:pPr>
              <w:pBdr>
                <w:top w:val="nil"/>
                <w:left w:val="nil"/>
                <w:bottom w:val="nil"/>
                <w:right w:val="nil"/>
                <w:between w:val="nil"/>
                <w:bar w:val="nil"/>
              </w:pBdr>
            </w:pPr>
            <w:r>
              <w:t>1.000 kr.</w:t>
            </w:r>
          </w:p>
          <w:p w14:paraId="0FDB2D51" w14:textId="77777777" w:rsidR="009059E3" w:rsidRDefault="009059E3" w:rsidP="006655CF">
            <w:pPr>
              <w:pBdr>
                <w:top w:val="nil"/>
                <w:left w:val="nil"/>
                <w:bottom w:val="nil"/>
                <w:right w:val="nil"/>
                <w:between w:val="nil"/>
                <w:bar w:val="nil"/>
              </w:pBdr>
            </w:pPr>
            <w:r>
              <w:t xml:space="preserve">(-mindreudgifter / </w:t>
            </w:r>
          </w:p>
          <w:p w14:paraId="66662496" w14:textId="77777777" w:rsidR="009059E3" w:rsidRDefault="009059E3" w:rsidP="006655CF">
            <w:pPr>
              <w:pBdr>
                <w:top w:val="nil"/>
                <w:left w:val="nil"/>
                <w:bottom w:val="nil"/>
                <w:right w:val="nil"/>
                <w:between w:val="nil"/>
                <w:bar w:val="nil"/>
              </w:pBdr>
            </w:pPr>
            <w:r>
              <w:t>+merudgifter)</w:t>
            </w:r>
          </w:p>
        </w:tc>
        <w:tc>
          <w:tcPr>
            <w:tcW w:w="1133" w:type="dxa"/>
          </w:tcPr>
          <w:p w14:paraId="7796761D" w14:textId="77777777" w:rsidR="009059E3" w:rsidRDefault="009059E3" w:rsidP="006655CF">
            <w:pPr>
              <w:pBdr>
                <w:top w:val="nil"/>
                <w:left w:val="nil"/>
                <w:bottom w:val="nil"/>
                <w:right w:val="nil"/>
                <w:between w:val="nil"/>
                <w:bar w:val="nil"/>
              </w:pBdr>
            </w:pPr>
            <w:r>
              <w:t>Forbrug 2020</w:t>
            </w:r>
          </w:p>
          <w:p w14:paraId="623E3EC1" w14:textId="77777777" w:rsidR="009059E3" w:rsidRDefault="009059E3" w:rsidP="006655CF">
            <w:pPr>
              <w:pBdr>
                <w:top w:val="nil"/>
                <w:left w:val="nil"/>
                <w:bottom w:val="nil"/>
                <w:right w:val="nil"/>
                <w:between w:val="nil"/>
                <w:bar w:val="nil"/>
              </w:pBdr>
            </w:pPr>
          </w:p>
          <w:p w14:paraId="08FA54A6" w14:textId="77777777" w:rsidR="009059E3" w:rsidRDefault="009059E3" w:rsidP="006655CF">
            <w:pPr>
              <w:pBdr>
                <w:top w:val="nil"/>
                <w:left w:val="nil"/>
                <w:bottom w:val="nil"/>
                <w:right w:val="nil"/>
                <w:between w:val="nil"/>
                <w:bar w:val="nil"/>
              </w:pBdr>
            </w:pPr>
          </w:p>
        </w:tc>
        <w:tc>
          <w:tcPr>
            <w:tcW w:w="254" w:type="dxa"/>
          </w:tcPr>
          <w:p w14:paraId="068E1251" w14:textId="77777777" w:rsidR="009059E3" w:rsidRDefault="009059E3" w:rsidP="006655CF">
            <w:pPr>
              <w:pBdr>
                <w:top w:val="nil"/>
                <w:left w:val="nil"/>
                <w:bottom w:val="nil"/>
                <w:right w:val="nil"/>
                <w:between w:val="nil"/>
                <w:bar w:val="nil"/>
              </w:pBdr>
            </w:pPr>
          </w:p>
        </w:tc>
        <w:tc>
          <w:tcPr>
            <w:tcW w:w="1049" w:type="dxa"/>
          </w:tcPr>
          <w:p w14:paraId="13614EC6" w14:textId="77777777" w:rsidR="009059E3" w:rsidRDefault="009059E3" w:rsidP="006655CF">
            <w:pPr>
              <w:pBdr>
                <w:top w:val="nil"/>
                <w:left w:val="nil"/>
                <w:bottom w:val="nil"/>
                <w:right w:val="nil"/>
                <w:between w:val="nil"/>
                <w:bar w:val="nil"/>
              </w:pBdr>
            </w:pPr>
            <w:r>
              <w:t>Budget 2021 (korr.)</w:t>
            </w:r>
          </w:p>
        </w:tc>
        <w:tc>
          <w:tcPr>
            <w:tcW w:w="1315" w:type="dxa"/>
          </w:tcPr>
          <w:p w14:paraId="1717AEE4" w14:textId="77777777" w:rsidR="009059E3" w:rsidRDefault="009059E3" w:rsidP="006655CF">
            <w:pPr>
              <w:pBdr>
                <w:top w:val="nil"/>
                <w:left w:val="nil"/>
                <w:bottom w:val="nil"/>
                <w:right w:val="nil"/>
                <w:between w:val="nil"/>
                <w:bar w:val="nil"/>
              </w:pBdr>
            </w:pPr>
            <w:r>
              <w:t>Forventet</w:t>
            </w:r>
          </w:p>
          <w:p w14:paraId="029D13B5" w14:textId="77777777" w:rsidR="009059E3" w:rsidRDefault="009059E3" w:rsidP="006655CF">
            <w:pPr>
              <w:pBdr>
                <w:top w:val="nil"/>
                <w:left w:val="nil"/>
                <w:bottom w:val="nil"/>
                <w:right w:val="nil"/>
                <w:between w:val="nil"/>
                <w:bar w:val="nil"/>
              </w:pBdr>
            </w:pPr>
            <w:r>
              <w:t>2021</w:t>
            </w:r>
          </w:p>
        </w:tc>
        <w:tc>
          <w:tcPr>
            <w:tcW w:w="254" w:type="dxa"/>
          </w:tcPr>
          <w:p w14:paraId="5F09C70A" w14:textId="77777777" w:rsidR="009059E3" w:rsidRDefault="009059E3" w:rsidP="006655CF">
            <w:pPr>
              <w:pBdr>
                <w:top w:val="nil"/>
                <w:left w:val="nil"/>
                <w:bottom w:val="nil"/>
                <w:right w:val="nil"/>
                <w:between w:val="nil"/>
                <w:bar w:val="nil"/>
              </w:pBdr>
            </w:pPr>
          </w:p>
        </w:tc>
        <w:tc>
          <w:tcPr>
            <w:tcW w:w="1049" w:type="dxa"/>
          </w:tcPr>
          <w:p w14:paraId="1525C4FF" w14:textId="77777777" w:rsidR="009059E3" w:rsidRDefault="009059E3" w:rsidP="006655CF">
            <w:pPr>
              <w:pBdr>
                <w:top w:val="nil"/>
                <w:left w:val="nil"/>
                <w:bottom w:val="nil"/>
                <w:right w:val="nil"/>
                <w:between w:val="nil"/>
                <w:bar w:val="nil"/>
              </w:pBdr>
            </w:pPr>
            <w:r>
              <w:t>Budget 2022</w:t>
            </w:r>
          </w:p>
        </w:tc>
        <w:tc>
          <w:tcPr>
            <w:tcW w:w="2059" w:type="dxa"/>
          </w:tcPr>
          <w:p w14:paraId="65032681" w14:textId="785A9194" w:rsidR="009059E3" w:rsidRDefault="009059E3" w:rsidP="006655CF">
            <w:pPr>
              <w:pBdr>
                <w:top w:val="nil"/>
                <w:left w:val="nil"/>
                <w:bottom w:val="nil"/>
                <w:right w:val="nil"/>
                <w:between w:val="nil"/>
                <w:bar w:val="nil"/>
              </w:pBdr>
            </w:pPr>
            <w:r>
              <w:t>Forventet forbrug 2022</w:t>
            </w:r>
            <w:r w:rsidR="0021683A">
              <w:t>,</w:t>
            </w:r>
            <w:r>
              <w:t xml:space="preserve"> hvis trafikbestillingen videreføres uden ændringer </w:t>
            </w:r>
          </w:p>
        </w:tc>
      </w:tr>
      <w:tr w:rsidR="009059E3" w14:paraId="032F1C6C" w14:textId="77777777" w:rsidTr="0021683A">
        <w:trPr>
          <w:trHeight w:val="459"/>
        </w:trPr>
        <w:tc>
          <w:tcPr>
            <w:tcW w:w="2397" w:type="dxa"/>
          </w:tcPr>
          <w:p w14:paraId="39F3EE66" w14:textId="77777777" w:rsidR="009059E3" w:rsidRDefault="009059E3" w:rsidP="006655CF">
            <w:pPr>
              <w:pBdr>
                <w:top w:val="nil"/>
                <w:left w:val="nil"/>
                <w:bottom w:val="nil"/>
                <w:right w:val="nil"/>
                <w:between w:val="nil"/>
                <w:bar w:val="nil"/>
              </w:pBdr>
            </w:pPr>
            <w:r>
              <w:t xml:space="preserve">Efterreguleringer </w:t>
            </w:r>
          </w:p>
        </w:tc>
        <w:tc>
          <w:tcPr>
            <w:tcW w:w="1133" w:type="dxa"/>
          </w:tcPr>
          <w:p w14:paraId="5E0D90E0" w14:textId="77777777" w:rsidR="009059E3" w:rsidRDefault="009059E3" w:rsidP="006655CF">
            <w:pPr>
              <w:pBdr>
                <w:top w:val="nil"/>
                <w:left w:val="nil"/>
                <w:bottom w:val="nil"/>
                <w:right w:val="nil"/>
                <w:between w:val="nil"/>
                <w:bar w:val="nil"/>
              </w:pBdr>
            </w:pPr>
            <w:r>
              <w:t>1.814</w:t>
            </w:r>
          </w:p>
        </w:tc>
        <w:tc>
          <w:tcPr>
            <w:tcW w:w="254" w:type="dxa"/>
          </w:tcPr>
          <w:p w14:paraId="497BC8B3" w14:textId="77777777" w:rsidR="009059E3" w:rsidRDefault="009059E3" w:rsidP="006655CF">
            <w:pPr>
              <w:pBdr>
                <w:top w:val="nil"/>
                <w:left w:val="nil"/>
                <w:bottom w:val="nil"/>
                <w:right w:val="nil"/>
                <w:between w:val="nil"/>
                <w:bar w:val="nil"/>
              </w:pBdr>
            </w:pPr>
          </w:p>
        </w:tc>
        <w:tc>
          <w:tcPr>
            <w:tcW w:w="1049" w:type="dxa"/>
          </w:tcPr>
          <w:p w14:paraId="2CCF6760" w14:textId="77777777" w:rsidR="009059E3" w:rsidRDefault="009059E3" w:rsidP="006655CF">
            <w:pPr>
              <w:pBdr>
                <w:top w:val="nil"/>
                <w:left w:val="nil"/>
                <w:bottom w:val="nil"/>
                <w:right w:val="nil"/>
                <w:between w:val="nil"/>
                <w:bar w:val="nil"/>
              </w:pBdr>
            </w:pPr>
            <w:r>
              <w:t>0</w:t>
            </w:r>
          </w:p>
        </w:tc>
        <w:tc>
          <w:tcPr>
            <w:tcW w:w="1315" w:type="dxa"/>
          </w:tcPr>
          <w:p w14:paraId="2BBD9A61" w14:textId="77777777" w:rsidR="009059E3" w:rsidRDefault="009059E3" w:rsidP="006655CF">
            <w:pPr>
              <w:pBdr>
                <w:top w:val="nil"/>
                <w:left w:val="nil"/>
                <w:bottom w:val="nil"/>
                <w:right w:val="nil"/>
                <w:between w:val="nil"/>
                <w:bar w:val="nil"/>
              </w:pBdr>
            </w:pPr>
            <w:r>
              <w:t>869</w:t>
            </w:r>
          </w:p>
        </w:tc>
        <w:tc>
          <w:tcPr>
            <w:tcW w:w="254" w:type="dxa"/>
          </w:tcPr>
          <w:p w14:paraId="23D8402D" w14:textId="77777777" w:rsidR="009059E3" w:rsidRDefault="009059E3" w:rsidP="006655CF">
            <w:pPr>
              <w:pBdr>
                <w:top w:val="nil"/>
                <w:left w:val="nil"/>
                <w:bottom w:val="nil"/>
                <w:right w:val="nil"/>
                <w:between w:val="nil"/>
                <w:bar w:val="nil"/>
              </w:pBdr>
            </w:pPr>
          </w:p>
        </w:tc>
        <w:tc>
          <w:tcPr>
            <w:tcW w:w="1049" w:type="dxa"/>
          </w:tcPr>
          <w:p w14:paraId="3A22B605" w14:textId="77777777" w:rsidR="009059E3" w:rsidRDefault="009059E3" w:rsidP="006655CF">
            <w:pPr>
              <w:pBdr>
                <w:top w:val="nil"/>
                <w:left w:val="nil"/>
                <w:bottom w:val="nil"/>
                <w:right w:val="nil"/>
                <w:between w:val="nil"/>
                <w:bar w:val="nil"/>
              </w:pBdr>
            </w:pPr>
            <w:r>
              <w:t>0</w:t>
            </w:r>
          </w:p>
        </w:tc>
        <w:tc>
          <w:tcPr>
            <w:tcW w:w="2059" w:type="dxa"/>
          </w:tcPr>
          <w:p w14:paraId="60ADB615" w14:textId="77777777" w:rsidR="009059E3" w:rsidRDefault="009059E3" w:rsidP="006655CF">
            <w:pPr>
              <w:pBdr>
                <w:top w:val="nil"/>
                <w:left w:val="nil"/>
                <w:bottom w:val="nil"/>
                <w:right w:val="nil"/>
                <w:between w:val="nil"/>
                <w:bar w:val="nil"/>
              </w:pBdr>
            </w:pPr>
            <w:r>
              <w:t>-</w:t>
            </w:r>
          </w:p>
        </w:tc>
      </w:tr>
      <w:tr w:rsidR="009059E3" w14:paraId="4E8D4AC9" w14:textId="77777777" w:rsidTr="0021683A">
        <w:trPr>
          <w:trHeight w:val="459"/>
        </w:trPr>
        <w:tc>
          <w:tcPr>
            <w:tcW w:w="2397" w:type="dxa"/>
          </w:tcPr>
          <w:p w14:paraId="41621814" w14:textId="080A528E" w:rsidR="009059E3" w:rsidRDefault="009059E3" w:rsidP="006655CF">
            <w:pPr>
              <w:pBdr>
                <w:top w:val="nil"/>
                <w:left w:val="nil"/>
                <w:bottom w:val="nil"/>
                <w:right w:val="nil"/>
                <w:between w:val="nil"/>
                <w:bar w:val="nil"/>
              </w:pBdr>
            </w:pPr>
            <w:r>
              <w:t>Statskompensation</w:t>
            </w:r>
            <w:r w:rsidR="00FF7C74">
              <w:t>*</w:t>
            </w:r>
          </w:p>
          <w:p w14:paraId="6B427DA0" w14:textId="77777777" w:rsidR="009059E3" w:rsidRDefault="009059E3" w:rsidP="006655CF">
            <w:pPr>
              <w:pBdr>
                <w:top w:val="nil"/>
                <w:left w:val="nil"/>
                <w:bottom w:val="nil"/>
                <w:right w:val="nil"/>
                <w:between w:val="nil"/>
                <w:bar w:val="nil"/>
              </w:pBdr>
            </w:pPr>
            <w:r>
              <w:t>Note 1</w:t>
            </w:r>
          </w:p>
        </w:tc>
        <w:tc>
          <w:tcPr>
            <w:tcW w:w="1133" w:type="dxa"/>
          </w:tcPr>
          <w:p w14:paraId="70DA431B" w14:textId="77777777" w:rsidR="009059E3" w:rsidRDefault="009059E3" w:rsidP="006655CF">
            <w:pPr>
              <w:pBdr>
                <w:top w:val="nil"/>
                <w:left w:val="nil"/>
                <w:bottom w:val="nil"/>
                <w:right w:val="nil"/>
                <w:between w:val="nil"/>
                <w:bar w:val="nil"/>
              </w:pBdr>
            </w:pPr>
          </w:p>
        </w:tc>
        <w:tc>
          <w:tcPr>
            <w:tcW w:w="254" w:type="dxa"/>
          </w:tcPr>
          <w:p w14:paraId="004D56E0" w14:textId="77777777" w:rsidR="009059E3" w:rsidRDefault="009059E3" w:rsidP="006655CF">
            <w:pPr>
              <w:pBdr>
                <w:top w:val="nil"/>
                <w:left w:val="nil"/>
                <w:bottom w:val="nil"/>
                <w:right w:val="nil"/>
                <w:between w:val="nil"/>
                <w:bar w:val="nil"/>
              </w:pBdr>
            </w:pPr>
          </w:p>
        </w:tc>
        <w:tc>
          <w:tcPr>
            <w:tcW w:w="1049" w:type="dxa"/>
          </w:tcPr>
          <w:p w14:paraId="320A90CA" w14:textId="77777777" w:rsidR="009059E3" w:rsidRDefault="009059E3" w:rsidP="006655CF">
            <w:pPr>
              <w:pBdr>
                <w:top w:val="nil"/>
                <w:left w:val="nil"/>
                <w:bottom w:val="nil"/>
                <w:right w:val="nil"/>
                <w:between w:val="nil"/>
                <w:bar w:val="nil"/>
              </w:pBdr>
            </w:pPr>
          </w:p>
        </w:tc>
        <w:tc>
          <w:tcPr>
            <w:tcW w:w="1315" w:type="dxa"/>
          </w:tcPr>
          <w:p w14:paraId="5A615ED0" w14:textId="77777777" w:rsidR="009059E3" w:rsidRDefault="009059E3" w:rsidP="006655CF">
            <w:pPr>
              <w:pBdr>
                <w:top w:val="nil"/>
                <w:left w:val="nil"/>
                <w:bottom w:val="nil"/>
                <w:right w:val="nil"/>
                <w:between w:val="nil"/>
                <w:bar w:val="nil"/>
              </w:pBdr>
            </w:pPr>
            <w:r>
              <w:t>1.294</w:t>
            </w:r>
          </w:p>
          <w:p w14:paraId="647F3A16" w14:textId="77777777" w:rsidR="009059E3" w:rsidRDefault="009059E3" w:rsidP="006655CF">
            <w:pPr>
              <w:pBdr>
                <w:top w:val="nil"/>
                <w:left w:val="nil"/>
                <w:bottom w:val="nil"/>
                <w:right w:val="nil"/>
                <w:between w:val="nil"/>
                <w:bar w:val="nil"/>
              </w:pBdr>
            </w:pPr>
            <w:r>
              <w:t>(udgift)</w:t>
            </w:r>
          </w:p>
        </w:tc>
        <w:tc>
          <w:tcPr>
            <w:tcW w:w="254" w:type="dxa"/>
          </w:tcPr>
          <w:p w14:paraId="7FE446BD" w14:textId="77777777" w:rsidR="009059E3" w:rsidRDefault="009059E3" w:rsidP="006655CF">
            <w:pPr>
              <w:pBdr>
                <w:top w:val="nil"/>
                <w:left w:val="nil"/>
                <w:bottom w:val="nil"/>
                <w:right w:val="nil"/>
                <w:between w:val="nil"/>
                <w:bar w:val="nil"/>
              </w:pBdr>
            </w:pPr>
          </w:p>
        </w:tc>
        <w:tc>
          <w:tcPr>
            <w:tcW w:w="1049" w:type="dxa"/>
          </w:tcPr>
          <w:p w14:paraId="737ABE50" w14:textId="77777777" w:rsidR="009059E3" w:rsidRDefault="009059E3" w:rsidP="006655CF">
            <w:pPr>
              <w:pBdr>
                <w:top w:val="nil"/>
                <w:left w:val="nil"/>
                <w:bottom w:val="nil"/>
                <w:right w:val="nil"/>
                <w:between w:val="nil"/>
                <w:bar w:val="nil"/>
              </w:pBdr>
            </w:pPr>
            <w:r>
              <w:t>0</w:t>
            </w:r>
          </w:p>
        </w:tc>
        <w:tc>
          <w:tcPr>
            <w:tcW w:w="2059" w:type="dxa"/>
          </w:tcPr>
          <w:p w14:paraId="46E3F46E" w14:textId="77777777" w:rsidR="009059E3" w:rsidRDefault="009059E3" w:rsidP="006655CF">
            <w:pPr>
              <w:pBdr>
                <w:top w:val="nil"/>
                <w:left w:val="nil"/>
                <w:bottom w:val="nil"/>
                <w:right w:val="nil"/>
                <w:between w:val="nil"/>
                <w:bar w:val="nil"/>
              </w:pBdr>
            </w:pPr>
            <w:r>
              <w:t>(1.100-1.300)</w:t>
            </w:r>
          </w:p>
          <w:p w14:paraId="3224F30F" w14:textId="77777777" w:rsidR="009059E3" w:rsidRDefault="009059E3" w:rsidP="006655CF">
            <w:pPr>
              <w:pBdr>
                <w:top w:val="nil"/>
                <w:left w:val="nil"/>
                <w:bottom w:val="nil"/>
                <w:right w:val="nil"/>
                <w:between w:val="nil"/>
                <w:bar w:val="nil"/>
              </w:pBdr>
            </w:pPr>
            <w:r>
              <w:t>(indtægt)</w:t>
            </w:r>
          </w:p>
        </w:tc>
      </w:tr>
      <w:tr w:rsidR="009059E3" w14:paraId="6CFDDED4" w14:textId="77777777" w:rsidTr="0021683A">
        <w:trPr>
          <w:trHeight w:val="459"/>
        </w:trPr>
        <w:tc>
          <w:tcPr>
            <w:tcW w:w="2397" w:type="dxa"/>
          </w:tcPr>
          <w:p w14:paraId="1D7ACDAC" w14:textId="77777777" w:rsidR="009059E3" w:rsidRDefault="009059E3" w:rsidP="006655CF">
            <w:pPr>
              <w:pBdr>
                <w:top w:val="nil"/>
                <w:left w:val="nil"/>
                <w:bottom w:val="nil"/>
                <w:right w:val="nil"/>
                <w:between w:val="nil"/>
                <w:bar w:val="nil"/>
              </w:pBdr>
            </w:pPr>
            <w:r>
              <w:t>Buslinjer inkl. adm. omk.</w:t>
            </w:r>
          </w:p>
          <w:p w14:paraId="0B31125C" w14:textId="77777777" w:rsidR="009059E3" w:rsidRDefault="009059E3" w:rsidP="006655CF">
            <w:pPr>
              <w:pBdr>
                <w:top w:val="nil"/>
                <w:left w:val="nil"/>
                <w:bottom w:val="nil"/>
                <w:right w:val="nil"/>
                <w:between w:val="nil"/>
                <w:bar w:val="nil"/>
              </w:pBdr>
            </w:pPr>
          </w:p>
        </w:tc>
        <w:tc>
          <w:tcPr>
            <w:tcW w:w="1133" w:type="dxa"/>
          </w:tcPr>
          <w:p w14:paraId="749A02D9" w14:textId="77777777" w:rsidR="009059E3" w:rsidRDefault="009059E3" w:rsidP="006655CF">
            <w:pPr>
              <w:pBdr>
                <w:top w:val="nil"/>
                <w:left w:val="nil"/>
                <w:bottom w:val="nil"/>
                <w:right w:val="nil"/>
                <w:between w:val="nil"/>
                <w:bar w:val="nil"/>
              </w:pBdr>
            </w:pPr>
            <w:r>
              <w:t>22.425</w:t>
            </w:r>
          </w:p>
        </w:tc>
        <w:tc>
          <w:tcPr>
            <w:tcW w:w="254" w:type="dxa"/>
          </w:tcPr>
          <w:p w14:paraId="536C3E36" w14:textId="77777777" w:rsidR="009059E3" w:rsidRDefault="009059E3" w:rsidP="006655CF">
            <w:pPr>
              <w:pBdr>
                <w:top w:val="nil"/>
                <w:left w:val="nil"/>
                <w:bottom w:val="nil"/>
                <w:right w:val="nil"/>
                <w:between w:val="nil"/>
                <w:bar w:val="nil"/>
              </w:pBdr>
            </w:pPr>
          </w:p>
        </w:tc>
        <w:tc>
          <w:tcPr>
            <w:tcW w:w="1049" w:type="dxa"/>
          </w:tcPr>
          <w:p w14:paraId="7A9B6F5C" w14:textId="77777777" w:rsidR="009059E3" w:rsidRDefault="009059E3" w:rsidP="006655CF">
            <w:pPr>
              <w:pBdr>
                <w:top w:val="nil"/>
                <w:left w:val="nil"/>
                <w:bottom w:val="nil"/>
                <w:right w:val="nil"/>
                <w:between w:val="nil"/>
                <w:bar w:val="nil"/>
              </w:pBdr>
            </w:pPr>
            <w:r>
              <w:t>23.627</w:t>
            </w:r>
          </w:p>
        </w:tc>
        <w:tc>
          <w:tcPr>
            <w:tcW w:w="1315" w:type="dxa"/>
          </w:tcPr>
          <w:p w14:paraId="380C2325" w14:textId="77777777" w:rsidR="009059E3" w:rsidRDefault="009059E3" w:rsidP="006655CF">
            <w:pPr>
              <w:pBdr>
                <w:top w:val="nil"/>
                <w:left w:val="nil"/>
                <w:bottom w:val="nil"/>
                <w:right w:val="nil"/>
                <w:between w:val="nil"/>
                <w:bar w:val="nil"/>
              </w:pBdr>
            </w:pPr>
            <w:r>
              <w:t>24.221</w:t>
            </w:r>
          </w:p>
        </w:tc>
        <w:tc>
          <w:tcPr>
            <w:tcW w:w="254" w:type="dxa"/>
          </w:tcPr>
          <w:p w14:paraId="44AD0CB2" w14:textId="77777777" w:rsidR="009059E3" w:rsidRDefault="009059E3" w:rsidP="006655CF">
            <w:pPr>
              <w:pBdr>
                <w:top w:val="nil"/>
                <w:left w:val="nil"/>
                <w:bottom w:val="nil"/>
                <w:right w:val="nil"/>
                <w:between w:val="nil"/>
                <w:bar w:val="nil"/>
              </w:pBdr>
            </w:pPr>
          </w:p>
        </w:tc>
        <w:tc>
          <w:tcPr>
            <w:tcW w:w="1049" w:type="dxa"/>
          </w:tcPr>
          <w:p w14:paraId="3DCCE2BA" w14:textId="77777777" w:rsidR="009059E3" w:rsidRDefault="009059E3" w:rsidP="006655CF">
            <w:pPr>
              <w:pBdr>
                <w:top w:val="nil"/>
                <w:left w:val="nil"/>
                <w:bottom w:val="nil"/>
                <w:right w:val="nil"/>
                <w:between w:val="nil"/>
                <w:bar w:val="nil"/>
              </w:pBdr>
            </w:pPr>
            <w:r>
              <w:t>23.164</w:t>
            </w:r>
          </w:p>
        </w:tc>
        <w:tc>
          <w:tcPr>
            <w:tcW w:w="2059" w:type="dxa"/>
          </w:tcPr>
          <w:p w14:paraId="7822E025" w14:textId="77777777" w:rsidR="009059E3" w:rsidRDefault="009059E3" w:rsidP="006655CF">
            <w:pPr>
              <w:pBdr>
                <w:top w:val="nil"/>
                <w:left w:val="nil"/>
                <w:bottom w:val="nil"/>
                <w:right w:val="nil"/>
                <w:between w:val="nil"/>
                <w:bar w:val="nil"/>
              </w:pBdr>
            </w:pPr>
            <w:r>
              <w:t>22.000-24.300</w:t>
            </w:r>
          </w:p>
        </w:tc>
      </w:tr>
      <w:tr w:rsidR="009059E3" w14:paraId="60CB5276" w14:textId="77777777" w:rsidTr="0021683A">
        <w:trPr>
          <w:trHeight w:val="228"/>
        </w:trPr>
        <w:tc>
          <w:tcPr>
            <w:tcW w:w="2397" w:type="dxa"/>
          </w:tcPr>
          <w:p w14:paraId="625A60BA" w14:textId="7122BDD2" w:rsidR="009059E3" w:rsidRDefault="009059E3" w:rsidP="006655CF">
            <w:pPr>
              <w:pBdr>
                <w:top w:val="nil"/>
                <w:left w:val="nil"/>
                <w:bottom w:val="nil"/>
                <w:right w:val="nil"/>
                <w:between w:val="nil"/>
                <w:bar w:val="nil"/>
              </w:pBdr>
            </w:pPr>
            <w:r>
              <w:t>StudieFlex</w:t>
            </w:r>
            <w:r w:rsidR="00FF7C74">
              <w:t>**</w:t>
            </w:r>
          </w:p>
          <w:p w14:paraId="403DA732" w14:textId="5CD92370" w:rsidR="009059E3" w:rsidRDefault="009059E3" w:rsidP="006655CF">
            <w:pPr>
              <w:pBdr>
                <w:top w:val="nil"/>
                <w:left w:val="nil"/>
                <w:bottom w:val="nil"/>
                <w:right w:val="nil"/>
                <w:between w:val="nil"/>
                <w:bar w:val="nil"/>
              </w:pBdr>
            </w:pPr>
          </w:p>
        </w:tc>
        <w:tc>
          <w:tcPr>
            <w:tcW w:w="1133" w:type="dxa"/>
          </w:tcPr>
          <w:p w14:paraId="18440B06" w14:textId="77777777" w:rsidR="009059E3" w:rsidRDefault="009059E3" w:rsidP="006655CF">
            <w:pPr>
              <w:pBdr>
                <w:top w:val="nil"/>
                <w:left w:val="nil"/>
                <w:bottom w:val="nil"/>
                <w:right w:val="nil"/>
                <w:between w:val="nil"/>
                <w:bar w:val="nil"/>
              </w:pBdr>
            </w:pPr>
            <w:r>
              <w:t>310</w:t>
            </w:r>
          </w:p>
        </w:tc>
        <w:tc>
          <w:tcPr>
            <w:tcW w:w="254" w:type="dxa"/>
          </w:tcPr>
          <w:p w14:paraId="0567A133" w14:textId="77777777" w:rsidR="009059E3" w:rsidRDefault="009059E3" w:rsidP="006655CF">
            <w:pPr>
              <w:pBdr>
                <w:top w:val="nil"/>
                <w:left w:val="nil"/>
                <w:bottom w:val="nil"/>
                <w:right w:val="nil"/>
                <w:between w:val="nil"/>
                <w:bar w:val="nil"/>
              </w:pBdr>
            </w:pPr>
          </w:p>
        </w:tc>
        <w:tc>
          <w:tcPr>
            <w:tcW w:w="1049" w:type="dxa"/>
          </w:tcPr>
          <w:p w14:paraId="739FE7F5" w14:textId="77777777" w:rsidR="009059E3" w:rsidRDefault="009059E3" w:rsidP="006655CF">
            <w:pPr>
              <w:pBdr>
                <w:top w:val="nil"/>
                <w:left w:val="nil"/>
                <w:bottom w:val="nil"/>
                <w:right w:val="nil"/>
                <w:between w:val="nil"/>
                <w:bar w:val="nil"/>
              </w:pBdr>
            </w:pPr>
            <w:r>
              <w:t>409</w:t>
            </w:r>
          </w:p>
        </w:tc>
        <w:tc>
          <w:tcPr>
            <w:tcW w:w="1315" w:type="dxa"/>
          </w:tcPr>
          <w:p w14:paraId="58929851" w14:textId="77777777" w:rsidR="009059E3" w:rsidRDefault="009059E3" w:rsidP="006655CF">
            <w:pPr>
              <w:pBdr>
                <w:top w:val="nil"/>
                <w:left w:val="nil"/>
                <w:bottom w:val="nil"/>
                <w:right w:val="nil"/>
                <w:between w:val="nil"/>
                <w:bar w:val="nil"/>
              </w:pBdr>
            </w:pPr>
            <w:r>
              <w:t>-137</w:t>
            </w:r>
          </w:p>
        </w:tc>
        <w:tc>
          <w:tcPr>
            <w:tcW w:w="254" w:type="dxa"/>
          </w:tcPr>
          <w:p w14:paraId="0AEA2E13" w14:textId="77777777" w:rsidR="009059E3" w:rsidRDefault="009059E3" w:rsidP="006655CF">
            <w:pPr>
              <w:pBdr>
                <w:top w:val="nil"/>
                <w:left w:val="nil"/>
                <w:bottom w:val="nil"/>
                <w:right w:val="nil"/>
                <w:between w:val="nil"/>
                <w:bar w:val="nil"/>
              </w:pBdr>
            </w:pPr>
          </w:p>
        </w:tc>
        <w:tc>
          <w:tcPr>
            <w:tcW w:w="1049" w:type="dxa"/>
          </w:tcPr>
          <w:p w14:paraId="54F64FCA" w14:textId="77777777" w:rsidR="009059E3" w:rsidRDefault="009059E3" w:rsidP="006655CF">
            <w:pPr>
              <w:pBdr>
                <w:top w:val="nil"/>
                <w:left w:val="nil"/>
                <w:bottom w:val="nil"/>
                <w:right w:val="nil"/>
                <w:between w:val="nil"/>
                <w:bar w:val="nil"/>
              </w:pBdr>
            </w:pPr>
            <w:r>
              <w:t>0</w:t>
            </w:r>
          </w:p>
        </w:tc>
        <w:tc>
          <w:tcPr>
            <w:tcW w:w="2059" w:type="dxa"/>
          </w:tcPr>
          <w:p w14:paraId="085FDDC4" w14:textId="77777777" w:rsidR="009059E3" w:rsidRDefault="009059E3" w:rsidP="006655CF">
            <w:pPr>
              <w:pBdr>
                <w:top w:val="nil"/>
                <w:left w:val="nil"/>
                <w:bottom w:val="nil"/>
                <w:right w:val="nil"/>
                <w:between w:val="nil"/>
                <w:bar w:val="nil"/>
              </w:pBdr>
            </w:pPr>
            <w:r>
              <w:t>Indgår under Flextur</w:t>
            </w:r>
          </w:p>
        </w:tc>
      </w:tr>
      <w:tr w:rsidR="009059E3" w14:paraId="29D5A54C" w14:textId="77777777" w:rsidTr="0021683A">
        <w:trPr>
          <w:trHeight w:val="475"/>
        </w:trPr>
        <w:tc>
          <w:tcPr>
            <w:tcW w:w="2397" w:type="dxa"/>
          </w:tcPr>
          <w:p w14:paraId="732763C9" w14:textId="782797A4" w:rsidR="009059E3" w:rsidRDefault="009059E3" w:rsidP="006655CF">
            <w:pPr>
              <w:pBdr>
                <w:top w:val="nil"/>
                <w:left w:val="nil"/>
                <w:bottom w:val="nil"/>
                <w:right w:val="nil"/>
                <w:between w:val="nil"/>
                <w:bar w:val="nil"/>
              </w:pBdr>
            </w:pPr>
            <w:r>
              <w:t>Flextur inkl. Frøen</w:t>
            </w:r>
            <w:r w:rsidR="00BB3686">
              <w:t>***</w:t>
            </w:r>
          </w:p>
          <w:p w14:paraId="492C1DF0" w14:textId="21F158C1" w:rsidR="009059E3" w:rsidRDefault="009059E3" w:rsidP="006655CF">
            <w:pPr>
              <w:pBdr>
                <w:top w:val="nil"/>
                <w:left w:val="nil"/>
                <w:bottom w:val="nil"/>
                <w:right w:val="nil"/>
                <w:between w:val="nil"/>
                <w:bar w:val="nil"/>
              </w:pBdr>
            </w:pPr>
          </w:p>
        </w:tc>
        <w:tc>
          <w:tcPr>
            <w:tcW w:w="1133" w:type="dxa"/>
          </w:tcPr>
          <w:p w14:paraId="3C856D35" w14:textId="77777777" w:rsidR="009059E3" w:rsidRDefault="009059E3" w:rsidP="006655CF">
            <w:pPr>
              <w:pBdr>
                <w:top w:val="nil"/>
                <w:left w:val="nil"/>
                <w:bottom w:val="nil"/>
                <w:right w:val="nil"/>
                <w:between w:val="nil"/>
                <w:bar w:val="nil"/>
              </w:pBdr>
            </w:pPr>
            <w:r>
              <w:t>3.546</w:t>
            </w:r>
          </w:p>
        </w:tc>
        <w:tc>
          <w:tcPr>
            <w:tcW w:w="254" w:type="dxa"/>
          </w:tcPr>
          <w:p w14:paraId="65BB6F1B" w14:textId="77777777" w:rsidR="009059E3" w:rsidRDefault="009059E3" w:rsidP="006655CF">
            <w:pPr>
              <w:pBdr>
                <w:top w:val="nil"/>
                <w:left w:val="nil"/>
                <w:bottom w:val="nil"/>
                <w:right w:val="nil"/>
                <w:between w:val="nil"/>
                <w:bar w:val="nil"/>
              </w:pBdr>
            </w:pPr>
          </w:p>
        </w:tc>
        <w:tc>
          <w:tcPr>
            <w:tcW w:w="1049" w:type="dxa"/>
          </w:tcPr>
          <w:p w14:paraId="62A24B61" w14:textId="77777777" w:rsidR="009059E3" w:rsidRDefault="009059E3" w:rsidP="006655CF">
            <w:pPr>
              <w:pBdr>
                <w:top w:val="nil"/>
                <w:left w:val="nil"/>
                <w:bottom w:val="nil"/>
                <w:right w:val="nil"/>
                <w:between w:val="nil"/>
                <w:bar w:val="nil"/>
              </w:pBdr>
            </w:pPr>
            <w:r>
              <w:t>2.941</w:t>
            </w:r>
          </w:p>
        </w:tc>
        <w:tc>
          <w:tcPr>
            <w:tcW w:w="1315" w:type="dxa"/>
          </w:tcPr>
          <w:p w14:paraId="0732A9A6" w14:textId="77777777" w:rsidR="009059E3" w:rsidRDefault="009059E3" w:rsidP="006655CF">
            <w:pPr>
              <w:pBdr>
                <w:top w:val="nil"/>
                <w:left w:val="nil"/>
                <w:bottom w:val="nil"/>
                <w:right w:val="nil"/>
                <w:between w:val="nil"/>
                <w:bar w:val="nil"/>
              </w:pBdr>
            </w:pPr>
            <w:r>
              <w:t>3.599</w:t>
            </w:r>
          </w:p>
        </w:tc>
        <w:tc>
          <w:tcPr>
            <w:tcW w:w="254" w:type="dxa"/>
          </w:tcPr>
          <w:p w14:paraId="3DA2FDE0" w14:textId="77777777" w:rsidR="009059E3" w:rsidRDefault="009059E3" w:rsidP="006655CF">
            <w:pPr>
              <w:pBdr>
                <w:top w:val="nil"/>
                <w:left w:val="nil"/>
                <w:bottom w:val="nil"/>
                <w:right w:val="nil"/>
                <w:between w:val="nil"/>
                <w:bar w:val="nil"/>
              </w:pBdr>
            </w:pPr>
          </w:p>
        </w:tc>
        <w:tc>
          <w:tcPr>
            <w:tcW w:w="1049" w:type="dxa"/>
          </w:tcPr>
          <w:p w14:paraId="30F25989" w14:textId="77777777" w:rsidR="009059E3" w:rsidRDefault="009059E3" w:rsidP="006655CF">
            <w:pPr>
              <w:pBdr>
                <w:top w:val="nil"/>
                <w:left w:val="nil"/>
                <w:bottom w:val="nil"/>
                <w:right w:val="nil"/>
                <w:between w:val="nil"/>
                <w:bar w:val="nil"/>
              </w:pBdr>
            </w:pPr>
            <w:r>
              <w:t>2.952</w:t>
            </w:r>
          </w:p>
        </w:tc>
        <w:tc>
          <w:tcPr>
            <w:tcW w:w="2059" w:type="dxa"/>
          </w:tcPr>
          <w:p w14:paraId="5C61AA78" w14:textId="77777777" w:rsidR="009059E3" w:rsidRDefault="009059E3" w:rsidP="006655CF">
            <w:pPr>
              <w:pBdr>
                <w:top w:val="nil"/>
                <w:left w:val="nil"/>
                <w:bottom w:val="nil"/>
                <w:right w:val="nil"/>
                <w:between w:val="nil"/>
                <w:bar w:val="nil"/>
              </w:pBdr>
            </w:pPr>
            <w:r>
              <w:t>3.200-3.500</w:t>
            </w:r>
          </w:p>
        </w:tc>
      </w:tr>
      <w:tr w:rsidR="009059E3" w14:paraId="5B001680" w14:textId="77777777" w:rsidTr="0021683A">
        <w:trPr>
          <w:trHeight w:val="228"/>
        </w:trPr>
        <w:tc>
          <w:tcPr>
            <w:tcW w:w="2397" w:type="dxa"/>
          </w:tcPr>
          <w:p w14:paraId="04331713" w14:textId="77777777" w:rsidR="009059E3" w:rsidRDefault="009059E3" w:rsidP="006655CF">
            <w:pPr>
              <w:pBdr>
                <w:top w:val="nil"/>
                <w:left w:val="nil"/>
                <w:bottom w:val="nil"/>
                <w:right w:val="nil"/>
                <w:between w:val="nil"/>
                <w:bar w:val="nil"/>
              </w:pBdr>
            </w:pPr>
            <w:r>
              <w:t>Flexhandicap</w:t>
            </w:r>
          </w:p>
          <w:p w14:paraId="3708EBCD" w14:textId="77777777" w:rsidR="009059E3" w:rsidRDefault="009059E3" w:rsidP="006655CF">
            <w:pPr>
              <w:pBdr>
                <w:top w:val="nil"/>
                <w:left w:val="nil"/>
                <w:bottom w:val="nil"/>
                <w:right w:val="nil"/>
                <w:between w:val="nil"/>
                <w:bar w:val="nil"/>
              </w:pBdr>
            </w:pPr>
          </w:p>
        </w:tc>
        <w:tc>
          <w:tcPr>
            <w:tcW w:w="1133" w:type="dxa"/>
          </w:tcPr>
          <w:p w14:paraId="6C4ADE47" w14:textId="77777777" w:rsidR="009059E3" w:rsidRDefault="009059E3" w:rsidP="006655CF">
            <w:pPr>
              <w:pBdr>
                <w:top w:val="nil"/>
                <w:left w:val="nil"/>
                <w:bottom w:val="nil"/>
                <w:right w:val="nil"/>
                <w:between w:val="nil"/>
                <w:bar w:val="nil"/>
              </w:pBdr>
            </w:pPr>
            <w:r>
              <w:t>3.141</w:t>
            </w:r>
          </w:p>
        </w:tc>
        <w:tc>
          <w:tcPr>
            <w:tcW w:w="254" w:type="dxa"/>
          </w:tcPr>
          <w:p w14:paraId="0F3E3C96" w14:textId="77777777" w:rsidR="009059E3" w:rsidRDefault="009059E3" w:rsidP="006655CF">
            <w:pPr>
              <w:pBdr>
                <w:top w:val="nil"/>
                <w:left w:val="nil"/>
                <w:bottom w:val="nil"/>
                <w:right w:val="nil"/>
                <w:between w:val="nil"/>
                <w:bar w:val="nil"/>
              </w:pBdr>
            </w:pPr>
          </w:p>
        </w:tc>
        <w:tc>
          <w:tcPr>
            <w:tcW w:w="1049" w:type="dxa"/>
          </w:tcPr>
          <w:p w14:paraId="61A70475" w14:textId="77777777" w:rsidR="009059E3" w:rsidRDefault="009059E3" w:rsidP="006655CF">
            <w:pPr>
              <w:pBdr>
                <w:top w:val="nil"/>
                <w:left w:val="nil"/>
                <w:bottom w:val="nil"/>
                <w:right w:val="nil"/>
                <w:between w:val="nil"/>
                <w:bar w:val="nil"/>
              </w:pBdr>
            </w:pPr>
            <w:r>
              <w:t>3.207</w:t>
            </w:r>
          </w:p>
        </w:tc>
        <w:tc>
          <w:tcPr>
            <w:tcW w:w="1315" w:type="dxa"/>
          </w:tcPr>
          <w:p w14:paraId="5F62DEA9" w14:textId="77777777" w:rsidR="009059E3" w:rsidRDefault="009059E3" w:rsidP="006655CF">
            <w:pPr>
              <w:pBdr>
                <w:top w:val="nil"/>
                <w:left w:val="nil"/>
                <w:bottom w:val="nil"/>
                <w:right w:val="nil"/>
                <w:between w:val="nil"/>
                <w:bar w:val="nil"/>
              </w:pBdr>
            </w:pPr>
            <w:r>
              <w:t>2.826</w:t>
            </w:r>
          </w:p>
        </w:tc>
        <w:tc>
          <w:tcPr>
            <w:tcW w:w="254" w:type="dxa"/>
          </w:tcPr>
          <w:p w14:paraId="6F04D148" w14:textId="77777777" w:rsidR="009059E3" w:rsidRDefault="009059E3" w:rsidP="006655CF">
            <w:pPr>
              <w:pBdr>
                <w:top w:val="nil"/>
                <w:left w:val="nil"/>
                <w:bottom w:val="nil"/>
                <w:right w:val="nil"/>
                <w:between w:val="nil"/>
                <w:bar w:val="nil"/>
              </w:pBdr>
            </w:pPr>
          </w:p>
        </w:tc>
        <w:tc>
          <w:tcPr>
            <w:tcW w:w="1049" w:type="dxa"/>
          </w:tcPr>
          <w:p w14:paraId="26DDB9D5" w14:textId="77777777" w:rsidR="009059E3" w:rsidRDefault="009059E3" w:rsidP="006655CF">
            <w:pPr>
              <w:pBdr>
                <w:top w:val="nil"/>
                <w:left w:val="nil"/>
                <w:bottom w:val="nil"/>
                <w:right w:val="nil"/>
                <w:between w:val="nil"/>
                <w:bar w:val="nil"/>
              </w:pBdr>
            </w:pPr>
            <w:r>
              <w:t>3.424</w:t>
            </w:r>
          </w:p>
        </w:tc>
        <w:tc>
          <w:tcPr>
            <w:tcW w:w="2059" w:type="dxa"/>
          </w:tcPr>
          <w:p w14:paraId="232EF1D4" w14:textId="77777777" w:rsidR="009059E3" w:rsidRDefault="009059E3" w:rsidP="006655CF">
            <w:pPr>
              <w:pBdr>
                <w:top w:val="nil"/>
                <w:left w:val="nil"/>
                <w:bottom w:val="nil"/>
                <w:right w:val="nil"/>
                <w:between w:val="nil"/>
                <w:bar w:val="nil"/>
              </w:pBdr>
            </w:pPr>
            <w:r>
              <w:t>2.800-3.100</w:t>
            </w:r>
          </w:p>
        </w:tc>
      </w:tr>
      <w:tr w:rsidR="009059E3" w14:paraId="6278B1B9" w14:textId="77777777" w:rsidTr="0021683A">
        <w:trPr>
          <w:trHeight w:val="228"/>
        </w:trPr>
        <w:tc>
          <w:tcPr>
            <w:tcW w:w="2397" w:type="dxa"/>
          </w:tcPr>
          <w:p w14:paraId="2D6C0717" w14:textId="77777777" w:rsidR="009059E3" w:rsidRDefault="009059E3" w:rsidP="006655CF">
            <w:pPr>
              <w:pBdr>
                <w:top w:val="nil"/>
                <w:left w:val="nil"/>
                <w:bottom w:val="nil"/>
                <w:right w:val="nil"/>
                <w:between w:val="nil"/>
                <w:bar w:val="nil"/>
              </w:pBdr>
              <w:rPr>
                <w:b/>
              </w:rPr>
            </w:pPr>
            <w:r>
              <w:rPr>
                <w:b/>
              </w:rPr>
              <w:t>Ialt</w:t>
            </w:r>
          </w:p>
        </w:tc>
        <w:tc>
          <w:tcPr>
            <w:tcW w:w="1133" w:type="dxa"/>
          </w:tcPr>
          <w:p w14:paraId="2458C7FC" w14:textId="77777777" w:rsidR="009059E3" w:rsidRDefault="009059E3" w:rsidP="006655CF">
            <w:pPr>
              <w:pBdr>
                <w:top w:val="nil"/>
                <w:left w:val="nil"/>
                <w:bottom w:val="nil"/>
                <w:right w:val="nil"/>
                <w:between w:val="nil"/>
                <w:bar w:val="nil"/>
              </w:pBdr>
              <w:rPr>
                <w:b/>
              </w:rPr>
            </w:pPr>
            <w:r>
              <w:rPr>
                <w:b/>
              </w:rPr>
              <w:t>31.236</w:t>
            </w:r>
          </w:p>
        </w:tc>
        <w:tc>
          <w:tcPr>
            <w:tcW w:w="254" w:type="dxa"/>
          </w:tcPr>
          <w:p w14:paraId="7CFCE516" w14:textId="77777777" w:rsidR="009059E3" w:rsidRDefault="009059E3" w:rsidP="006655CF">
            <w:pPr>
              <w:pBdr>
                <w:top w:val="nil"/>
                <w:left w:val="nil"/>
                <w:bottom w:val="nil"/>
                <w:right w:val="nil"/>
                <w:between w:val="nil"/>
                <w:bar w:val="nil"/>
              </w:pBdr>
              <w:rPr>
                <w:b/>
              </w:rPr>
            </w:pPr>
          </w:p>
        </w:tc>
        <w:tc>
          <w:tcPr>
            <w:tcW w:w="1049" w:type="dxa"/>
          </w:tcPr>
          <w:p w14:paraId="0CED7555" w14:textId="77777777" w:rsidR="009059E3" w:rsidRDefault="009059E3" w:rsidP="006655CF">
            <w:pPr>
              <w:pBdr>
                <w:top w:val="nil"/>
                <w:left w:val="nil"/>
                <w:bottom w:val="nil"/>
                <w:right w:val="nil"/>
                <w:between w:val="nil"/>
                <w:bar w:val="nil"/>
              </w:pBdr>
              <w:rPr>
                <w:b/>
              </w:rPr>
            </w:pPr>
            <w:r>
              <w:rPr>
                <w:b/>
              </w:rPr>
              <w:t>30.184</w:t>
            </w:r>
          </w:p>
        </w:tc>
        <w:tc>
          <w:tcPr>
            <w:tcW w:w="1315" w:type="dxa"/>
          </w:tcPr>
          <w:p w14:paraId="0CBAE692" w14:textId="77777777" w:rsidR="009059E3" w:rsidRDefault="009059E3" w:rsidP="006655CF">
            <w:pPr>
              <w:pBdr>
                <w:top w:val="nil"/>
                <w:left w:val="nil"/>
                <w:bottom w:val="nil"/>
                <w:right w:val="nil"/>
                <w:between w:val="nil"/>
                <w:bar w:val="nil"/>
              </w:pBdr>
              <w:rPr>
                <w:b/>
              </w:rPr>
            </w:pPr>
            <w:r>
              <w:rPr>
                <w:b/>
              </w:rPr>
              <w:t>32.672</w:t>
            </w:r>
          </w:p>
        </w:tc>
        <w:tc>
          <w:tcPr>
            <w:tcW w:w="254" w:type="dxa"/>
          </w:tcPr>
          <w:p w14:paraId="792C145A" w14:textId="77777777" w:rsidR="009059E3" w:rsidRDefault="009059E3" w:rsidP="006655CF">
            <w:pPr>
              <w:pBdr>
                <w:top w:val="nil"/>
                <w:left w:val="nil"/>
                <w:bottom w:val="nil"/>
                <w:right w:val="nil"/>
                <w:between w:val="nil"/>
                <w:bar w:val="nil"/>
              </w:pBdr>
              <w:rPr>
                <w:b/>
              </w:rPr>
            </w:pPr>
          </w:p>
        </w:tc>
        <w:tc>
          <w:tcPr>
            <w:tcW w:w="1049" w:type="dxa"/>
          </w:tcPr>
          <w:p w14:paraId="2B15AC12" w14:textId="77777777" w:rsidR="009059E3" w:rsidRDefault="009059E3" w:rsidP="006655CF">
            <w:pPr>
              <w:pBdr>
                <w:top w:val="nil"/>
                <w:left w:val="nil"/>
                <w:bottom w:val="nil"/>
                <w:right w:val="nil"/>
                <w:between w:val="nil"/>
                <w:bar w:val="nil"/>
              </w:pBdr>
              <w:rPr>
                <w:b/>
              </w:rPr>
            </w:pPr>
            <w:r>
              <w:rPr>
                <w:b/>
              </w:rPr>
              <w:t>29.540</w:t>
            </w:r>
          </w:p>
        </w:tc>
        <w:tc>
          <w:tcPr>
            <w:tcW w:w="2059" w:type="dxa"/>
          </w:tcPr>
          <w:p w14:paraId="7976ED40" w14:textId="77777777" w:rsidR="009059E3" w:rsidRDefault="009059E3" w:rsidP="006655CF">
            <w:pPr>
              <w:pBdr>
                <w:top w:val="nil"/>
                <w:left w:val="nil"/>
                <w:bottom w:val="nil"/>
                <w:right w:val="nil"/>
                <w:between w:val="nil"/>
                <w:bar w:val="nil"/>
              </w:pBdr>
              <w:rPr>
                <w:b/>
              </w:rPr>
            </w:pPr>
            <w:r>
              <w:rPr>
                <w:b/>
              </w:rPr>
              <w:t>28.000-30.900</w:t>
            </w:r>
          </w:p>
        </w:tc>
      </w:tr>
    </w:tbl>
    <w:p w14:paraId="6E853F5E" w14:textId="77777777" w:rsidR="0021683A" w:rsidRDefault="0021683A" w:rsidP="009059E3">
      <w:pPr>
        <w:pBdr>
          <w:top w:val="nil"/>
          <w:left w:val="nil"/>
          <w:bottom w:val="nil"/>
          <w:right w:val="nil"/>
          <w:between w:val="nil"/>
          <w:bar w:val="nil"/>
        </w:pBdr>
      </w:pPr>
    </w:p>
    <w:p w14:paraId="4B47019D" w14:textId="239A38E4" w:rsidR="009059E3" w:rsidRDefault="009059E3" w:rsidP="009059E3">
      <w:pPr>
        <w:pBdr>
          <w:top w:val="nil"/>
          <w:left w:val="nil"/>
          <w:bottom w:val="nil"/>
          <w:right w:val="nil"/>
          <w:between w:val="nil"/>
          <w:bar w:val="nil"/>
        </w:pBdr>
      </w:pPr>
      <w:r>
        <w:t>Kommunens tilskud til buslinjerne betales med månedlige a conto betalinger, som efterreguleres i kommunens regnskab for det kommende år. Kommunens udgifter til Flextrafik afregnes med månedlige betalinger efter forbrug.</w:t>
      </w:r>
    </w:p>
    <w:p w14:paraId="7E15C417" w14:textId="7B7FFABB" w:rsidR="009059E3" w:rsidRDefault="009059E3" w:rsidP="009059E3">
      <w:pPr>
        <w:pBdr>
          <w:top w:val="nil"/>
          <w:left w:val="nil"/>
          <w:bottom w:val="nil"/>
          <w:right w:val="nil"/>
          <w:between w:val="nil"/>
          <w:bar w:val="nil"/>
        </w:pBdr>
      </w:pPr>
    </w:p>
    <w:p w14:paraId="2D0956C0" w14:textId="504C9F1E" w:rsidR="009059E3" w:rsidRDefault="00FF7C74" w:rsidP="009059E3">
      <w:pPr>
        <w:pBdr>
          <w:top w:val="nil"/>
          <w:left w:val="nil"/>
          <w:bottom w:val="nil"/>
          <w:right w:val="nil"/>
          <w:between w:val="nil"/>
          <w:bar w:val="nil"/>
        </w:pBdr>
      </w:pPr>
      <w:r>
        <w:t>*</w:t>
      </w:r>
      <w:r w:rsidR="009059E3">
        <w:t xml:space="preserve">KL og Danske Regioner indgik i juni 2020 en aftale med regeringen om at holde den kollektive trafik (buslinjer og Flextrafik) kørende under Covid-19, og </w:t>
      </w:r>
      <w:r w:rsidR="005C416A">
        <w:t xml:space="preserve">for at </w:t>
      </w:r>
      <w:r w:rsidR="009059E3">
        <w:t xml:space="preserve">sikre at kommuner og regioner er økonomisk skadesløse for meromkostninger. Efter fremlæggelsen af Movias regnskab for 2020 har det imidlertid vist sig, at enkelte kommuner skal betale til statskompensationen, bl.a. Vordingborg. Der er rettet henvendelse til KL med anmodning om ændret beregningsmetode. I 2021 har regeringen er afsat en ramme til statskompensationen i alle kommuner, som allerede nu er markant overskredet. Administrationen tager derfor forbehold for, at der ikke også for 2021 </w:t>
      </w:r>
      <w:r w:rsidR="009059E3">
        <w:lastRenderedPageBreak/>
        <w:t>-til betaling i 2022- kan forventes en merudgift til kommunen ud over beløbene i ovenstående skema.</w:t>
      </w:r>
    </w:p>
    <w:p w14:paraId="5A51D1AD" w14:textId="6CFD7BD5" w:rsidR="009059E3" w:rsidRDefault="009059E3" w:rsidP="009059E3">
      <w:pPr>
        <w:pBdr>
          <w:top w:val="nil"/>
          <w:left w:val="nil"/>
          <w:bottom w:val="nil"/>
          <w:right w:val="nil"/>
          <w:between w:val="nil"/>
          <w:bar w:val="nil"/>
        </w:pBdr>
      </w:pPr>
    </w:p>
    <w:p w14:paraId="79A13ED0" w14:textId="43A45389" w:rsidR="009059E3" w:rsidRDefault="00BB3686" w:rsidP="009059E3">
      <w:pPr>
        <w:pBdr>
          <w:top w:val="nil"/>
          <w:left w:val="nil"/>
          <w:bottom w:val="nil"/>
          <w:right w:val="nil"/>
          <w:between w:val="nil"/>
          <w:bar w:val="nil"/>
        </w:pBdr>
      </w:pPr>
      <w:r>
        <w:t>**</w:t>
      </w:r>
      <w:r w:rsidR="009059E3">
        <w:t xml:space="preserve">StudieFlex er en forsøgsordning, som i skoleårene 2019/20 og 2020/21 har givet elever med lang transporttid på kommunens videregående uddannelser adgang til gratis befordring med Flextrafik. Udgifterne er betydeligt lavere end forventet, da Corona helt har stoppet benyttelsen i en periode. Det samlede projekt havde oprindeligt et budget på 2,7 mio. kr., hvoraf 50% er tilskud. Efter slutafregning af tilskud med Trafikstyrelsen forventes i 2021 en mindre indtægt. </w:t>
      </w:r>
    </w:p>
    <w:p w14:paraId="5AEC808E" w14:textId="77777777" w:rsidR="00FF7C74" w:rsidRDefault="00FF7C74" w:rsidP="009059E3">
      <w:pPr>
        <w:pBdr>
          <w:top w:val="nil"/>
          <w:left w:val="nil"/>
          <w:bottom w:val="nil"/>
          <w:right w:val="nil"/>
          <w:between w:val="nil"/>
          <w:bar w:val="nil"/>
        </w:pBdr>
      </w:pPr>
    </w:p>
    <w:p w14:paraId="16024F8C" w14:textId="71EAF3C8" w:rsidR="009059E3" w:rsidRDefault="00BB3686" w:rsidP="009059E3">
      <w:pPr>
        <w:pBdr>
          <w:top w:val="nil"/>
          <w:left w:val="nil"/>
          <w:bottom w:val="nil"/>
          <w:right w:val="nil"/>
          <w:between w:val="nil"/>
          <w:bar w:val="nil"/>
        </w:pBdr>
      </w:pPr>
      <w:r w:rsidRPr="00D85C60">
        <w:t>***</w:t>
      </w:r>
      <w:r w:rsidR="009059E3">
        <w:t xml:space="preserve">Der er fremlagt separat sag til Udvalget for Plan og Teknik </w:t>
      </w:r>
      <w:r w:rsidR="0021683A">
        <w:t xml:space="preserve">til mødet i maj 2021 </w:t>
      </w:r>
      <w:r w:rsidR="009059E3">
        <w:t>om forslag til videreførelse af delebilen på Jungshoved (populært kaldet Frøen). Udgifterne til delebilen forventes fortsat afholdt i budgettet for Flextur.</w:t>
      </w:r>
    </w:p>
    <w:p w14:paraId="2684580F" w14:textId="3E0CBF3F" w:rsidR="00AF7C61" w:rsidRDefault="00AF7C61" w:rsidP="006E2DE1"/>
    <w:p w14:paraId="0A11B0CD" w14:textId="63B864F0" w:rsidR="00FF7C74" w:rsidRDefault="00FF7C74" w:rsidP="006E2DE1"/>
    <w:p w14:paraId="34053B6E" w14:textId="670E15EA" w:rsidR="00FF7C74" w:rsidRPr="007B45A2" w:rsidRDefault="00BB3686" w:rsidP="006E2DE1">
      <w:pPr>
        <w:rPr>
          <w:b/>
          <w:bCs/>
        </w:rPr>
      </w:pPr>
      <w:r w:rsidRPr="007B45A2">
        <w:rPr>
          <w:b/>
          <w:bCs/>
        </w:rPr>
        <w:t>Note 2</w:t>
      </w:r>
    </w:p>
    <w:p w14:paraId="472FDAC4" w14:textId="45C96886" w:rsidR="00BB3686" w:rsidRPr="00D85C60" w:rsidRDefault="00BB3686" w:rsidP="00BB3686">
      <w:pPr>
        <w:pStyle w:val="Default"/>
        <w:rPr>
          <w:rFonts w:cs="Times New Roman"/>
          <w:color w:val="auto"/>
          <w:sz w:val="22"/>
        </w:rPr>
      </w:pPr>
      <w:r w:rsidRPr="00D85C60">
        <w:rPr>
          <w:rFonts w:cs="Times New Roman"/>
          <w:color w:val="auto"/>
          <w:sz w:val="22"/>
        </w:rPr>
        <w:t xml:space="preserve">Corona har påvirket passagertallet i busser, lokaltoge og </w:t>
      </w:r>
      <w:r w:rsidR="005C416A">
        <w:rPr>
          <w:rFonts w:cs="Times New Roman"/>
          <w:color w:val="auto"/>
          <w:sz w:val="22"/>
        </w:rPr>
        <w:t>F</w:t>
      </w:r>
      <w:r w:rsidRPr="00D85C60">
        <w:rPr>
          <w:rFonts w:cs="Times New Roman"/>
          <w:color w:val="auto"/>
          <w:sz w:val="22"/>
        </w:rPr>
        <w:t>lextrafik i mærkbar grad. Den kollektive transport har holdt hjulene i gang under hele coronakrisen. Samtidig har myndighederne rådet kunderne til at begrænse brugen af kollektiv transport. Med et mærkbart passagertab til følge. Kollektiv transport var vigtig under nedlukningerne</w:t>
      </w:r>
      <w:r w:rsidR="006E0D82" w:rsidRPr="00D85C60">
        <w:rPr>
          <w:rFonts w:cs="Times New Roman"/>
          <w:color w:val="auto"/>
          <w:sz w:val="22"/>
        </w:rPr>
        <w:t>, men er også a</w:t>
      </w:r>
      <w:r w:rsidRPr="00D85C60">
        <w:rPr>
          <w:rFonts w:cs="Times New Roman"/>
          <w:color w:val="auto"/>
          <w:sz w:val="22"/>
        </w:rPr>
        <w:t xml:space="preserve">fgørende for at få samfundet op at stå igen på bagkanten af corona. </w:t>
      </w:r>
    </w:p>
    <w:p w14:paraId="226B9630" w14:textId="5ABBC714" w:rsidR="00BB3686" w:rsidRPr="00D85C60" w:rsidRDefault="00BB3686" w:rsidP="00C44F3C">
      <w:pPr>
        <w:pStyle w:val="Default"/>
        <w:rPr>
          <w:rFonts w:cs="Times New Roman"/>
          <w:color w:val="auto"/>
          <w:sz w:val="22"/>
        </w:rPr>
      </w:pPr>
      <w:r w:rsidRPr="00D85C60">
        <w:rPr>
          <w:rFonts w:cs="Times New Roman"/>
          <w:color w:val="auto"/>
          <w:sz w:val="22"/>
        </w:rPr>
        <w:t>Det bliver en kompleks og svær opgave at genoprette indtægterne i den kollektive transport og vinde kunderne tilbage i busser og tog. Det kræver en ganske særlig indsats</w:t>
      </w:r>
      <w:r w:rsidR="006E0D82" w:rsidRPr="00D85C60">
        <w:rPr>
          <w:rFonts w:cs="Times New Roman"/>
          <w:color w:val="auto"/>
          <w:sz w:val="22"/>
        </w:rPr>
        <w:t xml:space="preserve"> i et </w:t>
      </w:r>
      <w:r w:rsidRPr="00D85C60">
        <w:rPr>
          <w:rFonts w:cs="Times New Roman"/>
          <w:color w:val="auto"/>
          <w:sz w:val="22"/>
        </w:rPr>
        <w:t>tæt samarbejde mellem kommuner, regioner og Movia</w:t>
      </w:r>
      <w:r w:rsidR="006E0D82" w:rsidRPr="00D85C60">
        <w:rPr>
          <w:rFonts w:cs="Times New Roman"/>
          <w:color w:val="auto"/>
          <w:sz w:val="22"/>
        </w:rPr>
        <w:t>. M</w:t>
      </w:r>
      <w:r w:rsidRPr="00D85C60">
        <w:rPr>
          <w:rFonts w:cs="Times New Roman"/>
          <w:color w:val="auto"/>
          <w:sz w:val="22"/>
        </w:rPr>
        <w:t>ovia</w:t>
      </w:r>
      <w:r w:rsidR="006E0D82" w:rsidRPr="00D85C60">
        <w:rPr>
          <w:rFonts w:cs="Times New Roman"/>
          <w:color w:val="auto"/>
          <w:sz w:val="22"/>
        </w:rPr>
        <w:t xml:space="preserve"> foreslår</w:t>
      </w:r>
      <w:r w:rsidRPr="00D85C60">
        <w:rPr>
          <w:rFonts w:cs="Times New Roman"/>
          <w:color w:val="auto"/>
          <w:sz w:val="22"/>
        </w:rPr>
        <w:t>, at kommuner og regioner går sammen om at investere i fælles win</w:t>
      </w:r>
      <w:r w:rsidR="005C416A">
        <w:rPr>
          <w:rFonts w:cs="Times New Roman"/>
          <w:color w:val="auto"/>
          <w:sz w:val="22"/>
        </w:rPr>
        <w:t>-</w:t>
      </w:r>
      <w:r w:rsidRPr="00D85C60">
        <w:rPr>
          <w:rFonts w:cs="Times New Roman"/>
          <w:color w:val="auto"/>
          <w:sz w:val="22"/>
        </w:rPr>
        <w:t xml:space="preserve">back indsatser med klima som det overordnede tema. </w:t>
      </w:r>
    </w:p>
    <w:p w14:paraId="359DBF13" w14:textId="74485761" w:rsidR="00C44F3C" w:rsidRPr="00D85C60" w:rsidRDefault="00C44F3C" w:rsidP="00C44F3C">
      <w:pPr>
        <w:pStyle w:val="Default"/>
        <w:rPr>
          <w:rFonts w:cs="Times New Roman"/>
          <w:color w:val="auto"/>
          <w:sz w:val="22"/>
        </w:rPr>
      </w:pPr>
      <w:r w:rsidRPr="00D85C60">
        <w:rPr>
          <w:rFonts w:cs="Times New Roman"/>
          <w:color w:val="auto"/>
          <w:sz w:val="22"/>
        </w:rPr>
        <w:t>Nedenstående målinger fra Epinion viser omfanget af opgaven</w:t>
      </w:r>
      <w:r w:rsidR="005C416A">
        <w:rPr>
          <w:rFonts w:cs="Times New Roman"/>
          <w:color w:val="auto"/>
          <w:sz w:val="22"/>
        </w:rPr>
        <w:t>.</w:t>
      </w:r>
    </w:p>
    <w:p w14:paraId="7F0DB1A6" w14:textId="4B653A3F" w:rsidR="006E0D82" w:rsidRPr="00D85C60" w:rsidRDefault="006E0D82" w:rsidP="00BB3686"/>
    <w:p w14:paraId="05784FFE" w14:textId="5F0543A2" w:rsidR="006E0D82" w:rsidRDefault="006E0D82" w:rsidP="00BB3686">
      <w:pPr>
        <w:rPr>
          <w:b/>
          <w:bCs/>
        </w:rPr>
      </w:pPr>
      <w:r>
        <w:rPr>
          <w:noProof/>
        </w:rPr>
        <w:drawing>
          <wp:inline distT="0" distB="0" distL="0" distR="0" wp14:anchorId="740B34B1" wp14:editId="66C99926">
            <wp:extent cx="5976620" cy="3771265"/>
            <wp:effectExtent l="0" t="0" r="508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6620" cy="3771265"/>
                    </a:xfrm>
                    <a:prstGeom prst="rect">
                      <a:avLst/>
                    </a:prstGeom>
                  </pic:spPr>
                </pic:pic>
              </a:graphicData>
            </a:graphic>
          </wp:inline>
        </w:drawing>
      </w:r>
    </w:p>
    <w:p w14:paraId="68008F37" w14:textId="40C946F0" w:rsidR="006E0D82" w:rsidRDefault="006E0D82" w:rsidP="00BB3686">
      <w:pPr>
        <w:rPr>
          <w:b/>
          <w:bCs/>
        </w:rPr>
      </w:pPr>
    </w:p>
    <w:p w14:paraId="04B33A63" w14:textId="550CBDE3" w:rsidR="006E0D82" w:rsidRDefault="006E0D82" w:rsidP="00BB3686">
      <w:pPr>
        <w:rPr>
          <w:b/>
          <w:bCs/>
        </w:rPr>
      </w:pPr>
      <w:r>
        <w:rPr>
          <w:noProof/>
        </w:rPr>
        <w:drawing>
          <wp:inline distT="0" distB="0" distL="0" distR="0" wp14:anchorId="39906E10" wp14:editId="46FC3EC1">
            <wp:extent cx="5976620" cy="4191635"/>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4191635"/>
                    </a:xfrm>
                    <a:prstGeom prst="rect">
                      <a:avLst/>
                    </a:prstGeom>
                  </pic:spPr>
                </pic:pic>
              </a:graphicData>
            </a:graphic>
          </wp:inline>
        </w:drawing>
      </w:r>
    </w:p>
    <w:p w14:paraId="64DD7DB6" w14:textId="202C9D90" w:rsidR="00C44F3C" w:rsidRDefault="00C44F3C" w:rsidP="00BB3686">
      <w:pPr>
        <w:rPr>
          <w:b/>
          <w:bCs/>
        </w:rPr>
      </w:pPr>
    </w:p>
    <w:p w14:paraId="784A3224" w14:textId="77777777" w:rsidR="00C44F3C" w:rsidRDefault="00C44F3C" w:rsidP="00BB3686">
      <w:pPr>
        <w:rPr>
          <w:b/>
          <w:bCs/>
        </w:rPr>
      </w:pPr>
    </w:p>
    <w:p w14:paraId="6AA56D1C" w14:textId="6E8B7D13" w:rsidR="00C44F3C" w:rsidRDefault="00C44F3C" w:rsidP="00BB3686">
      <w:pPr>
        <w:rPr>
          <w:b/>
          <w:bCs/>
        </w:rPr>
      </w:pPr>
      <w:r>
        <w:rPr>
          <w:b/>
          <w:bCs/>
        </w:rPr>
        <w:t>Note 3</w:t>
      </w:r>
    </w:p>
    <w:p w14:paraId="5C05529B" w14:textId="72C354FA" w:rsidR="00C44F3C" w:rsidRDefault="00C44F3C" w:rsidP="00C44F3C">
      <w:pPr>
        <w:pBdr>
          <w:top w:val="nil"/>
          <w:left w:val="nil"/>
          <w:bottom w:val="nil"/>
          <w:right w:val="nil"/>
          <w:between w:val="nil"/>
          <w:bar w:val="nil"/>
        </w:pBdr>
      </w:pPr>
      <w:r>
        <w:t xml:space="preserve">Administrationen er </w:t>
      </w:r>
      <w:r w:rsidR="005A6871">
        <w:t xml:space="preserve">blevet kontaktet af House of Moen, som oplyser at </w:t>
      </w:r>
      <w:r>
        <w:t>en privat finansieret buslinje i sommeren 2021 (fra 26. juni til 1. september) vil køre gratis med 3 daglige ture i 4 dage om ugen på en rute imellem Nyord og Klintholm havn. Ruten forventes godkendt af Færdselsstyrelsen. House of Moen</w:t>
      </w:r>
      <w:r w:rsidR="005A6871">
        <w:t xml:space="preserve"> anmoder</w:t>
      </w:r>
      <w:r>
        <w:t xml:space="preserve"> om, at denne buslinje fra 2022 finansieres </w:t>
      </w:r>
      <w:r w:rsidR="005A6871">
        <w:t>i</w:t>
      </w:r>
      <w:r>
        <w:t xml:space="preserve"> kommunens trafikbestilling. Administrationen kan oplyse, at ruten </w:t>
      </w:r>
      <w:r w:rsidR="005A6871">
        <w:t xml:space="preserve">i regi af Movia </w:t>
      </w:r>
      <w:r>
        <w:t xml:space="preserve">med gratis påstigning og </w:t>
      </w:r>
      <w:r w:rsidR="002E7319">
        <w:t>køreplan kun</w:t>
      </w:r>
      <w:r>
        <w:t xml:space="preserve"> i skolesommerferien, forventes at koste ca. 150.000 kr. </w:t>
      </w:r>
    </w:p>
    <w:p w14:paraId="3385082E" w14:textId="66B1432E" w:rsidR="00C44F3C" w:rsidRDefault="00C44F3C" w:rsidP="00BB3686"/>
    <w:p w14:paraId="396B30F9" w14:textId="77777777" w:rsidR="005A6871" w:rsidRDefault="005A6871" w:rsidP="00BB3686">
      <w:pPr>
        <w:rPr>
          <w:b/>
          <w:bCs/>
        </w:rPr>
      </w:pPr>
    </w:p>
    <w:p w14:paraId="7F78FC70" w14:textId="27AB482A" w:rsidR="00C44F3C" w:rsidRDefault="00C44F3C" w:rsidP="00BB3686">
      <w:pPr>
        <w:rPr>
          <w:b/>
          <w:bCs/>
        </w:rPr>
      </w:pPr>
      <w:r>
        <w:rPr>
          <w:b/>
          <w:bCs/>
        </w:rPr>
        <w:t>Note 4</w:t>
      </w:r>
    </w:p>
    <w:p w14:paraId="4BAB723F" w14:textId="33A3F20B" w:rsidR="00956B03" w:rsidRDefault="00C44F3C" w:rsidP="00C44F3C">
      <w:pPr>
        <w:pBdr>
          <w:top w:val="nil"/>
          <w:left w:val="nil"/>
          <w:bottom w:val="nil"/>
          <w:right w:val="nil"/>
          <w:between w:val="nil"/>
          <w:bar w:val="nil"/>
        </w:pBdr>
      </w:pPr>
      <w:r>
        <w:t>Kun ca. 30 elever har brugt Studieflex</w:t>
      </w:r>
      <w:r w:rsidR="005C416A">
        <w:t xml:space="preserve"> (Flextrafik) </w:t>
      </w:r>
      <w:r>
        <w:t xml:space="preserve">i løbet af den snart afsluttede forsøgsperiode i skoleårene 2019/20 og 2020/21. Der er kørt langt færre ture end forventet. Noget af årsagen er Covid-19, men også </w:t>
      </w:r>
      <w:r w:rsidR="005C416A">
        <w:t xml:space="preserve">en generelt mindre lyst til at køre med </w:t>
      </w:r>
      <w:r>
        <w:t xml:space="preserve">Flextrafik </w:t>
      </w:r>
      <w:r w:rsidR="005C416A">
        <w:t xml:space="preserve">end forventet, hvilket antages at skyldes, at Flextrafik </w:t>
      </w:r>
      <w:r>
        <w:t xml:space="preserve">medfører mere ventetid end med en busrute, som kommer på ’minuttet’. Den rejsende skal derfor bo ret langt fra en busrute før end Flextrafik anses for mere attraktiv end buslinjen. Det vurderes derfor, at StudieFlex kunne </w:t>
      </w:r>
      <w:r w:rsidR="005C416A">
        <w:t>videreføres</w:t>
      </w:r>
      <w:r>
        <w:t xml:space="preserve"> i Movias produkt kaldet Plustur, som kun betjener borgerne imellem den private adresse og udvalgte stoppesteder (knudepunkter) på buslinjen. </w:t>
      </w:r>
    </w:p>
    <w:p w14:paraId="4ACAC357" w14:textId="77777777" w:rsidR="00956B03" w:rsidRDefault="00956B03" w:rsidP="00C44F3C">
      <w:pPr>
        <w:pBdr>
          <w:top w:val="nil"/>
          <w:left w:val="nil"/>
          <w:bottom w:val="nil"/>
          <w:right w:val="nil"/>
          <w:between w:val="nil"/>
          <w:bar w:val="nil"/>
        </w:pBdr>
      </w:pPr>
    </w:p>
    <w:p w14:paraId="31A3ED22" w14:textId="77777777" w:rsidR="00956B03" w:rsidRDefault="00956B03" w:rsidP="00C44F3C">
      <w:pPr>
        <w:pBdr>
          <w:top w:val="nil"/>
          <w:left w:val="nil"/>
          <w:bottom w:val="nil"/>
          <w:right w:val="nil"/>
          <w:between w:val="nil"/>
          <w:bar w:val="nil"/>
        </w:pBdr>
      </w:pPr>
    </w:p>
    <w:p w14:paraId="6B1F6065" w14:textId="0B6C3AE0" w:rsidR="00956B03" w:rsidRPr="00956B03" w:rsidRDefault="00956B03" w:rsidP="00C44F3C">
      <w:pPr>
        <w:pBdr>
          <w:top w:val="nil"/>
          <w:left w:val="nil"/>
          <w:bottom w:val="nil"/>
          <w:right w:val="nil"/>
          <w:between w:val="nil"/>
          <w:bar w:val="nil"/>
        </w:pBdr>
        <w:rPr>
          <w:b/>
          <w:bCs/>
        </w:rPr>
      </w:pPr>
      <w:r w:rsidRPr="00956B03">
        <w:rPr>
          <w:b/>
          <w:bCs/>
        </w:rPr>
        <w:t>Note 5</w:t>
      </w:r>
    </w:p>
    <w:p w14:paraId="47930E4F" w14:textId="4F79465E" w:rsidR="00C44F3C" w:rsidRDefault="00C44F3C" w:rsidP="00C44F3C">
      <w:pPr>
        <w:pBdr>
          <w:top w:val="nil"/>
          <w:left w:val="nil"/>
          <w:bottom w:val="nil"/>
          <w:right w:val="nil"/>
          <w:between w:val="nil"/>
          <w:bar w:val="nil"/>
        </w:pBdr>
      </w:pPr>
      <w:r>
        <w:t xml:space="preserve">Movia </w:t>
      </w:r>
      <w:r w:rsidR="00FC2A4B">
        <w:t>foreslår</w:t>
      </w:r>
      <w:r>
        <w:t xml:space="preserve"> </w:t>
      </w:r>
      <w:r w:rsidR="005A6871">
        <w:t xml:space="preserve">to </w:t>
      </w:r>
      <w:r>
        <w:t>modeller for Plustur i Vordingborg</w:t>
      </w:r>
      <w:r w:rsidR="00956B03">
        <w:t xml:space="preserve"> kommune</w:t>
      </w:r>
      <w:r>
        <w:t>;</w:t>
      </w:r>
    </w:p>
    <w:p w14:paraId="6F98CAF5" w14:textId="77777777" w:rsidR="00C44F3C" w:rsidRDefault="00C44F3C" w:rsidP="00C44F3C">
      <w:pPr>
        <w:pStyle w:val="Listeafsnit"/>
        <w:numPr>
          <w:ilvl w:val="0"/>
          <w:numId w:val="3"/>
        </w:numPr>
        <w:pBdr>
          <w:top w:val="nil"/>
          <w:left w:val="nil"/>
          <w:bottom w:val="nil"/>
          <w:right w:val="nil"/>
          <w:between w:val="nil"/>
          <w:bar w:val="nil"/>
        </w:pBdr>
        <w:spacing w:line="240" w:lineRule="auto"/>
      </w:pPr>
      <w:r>
        <w:t>Almindelig Plustur, pris ca. 0,5 mio. kr. pr. år</w:t>
      </w:r>
    </w:p>
    <w:p w14:paraId="53AF062C" w14:textId="77777777" w:rsidR="00C44F3C" w:rsidRDefault="00C44F3C" w:rsidP="00C44F3C">
      <w:pPr>
        <w:pStyle w:val="Listeafsnit"/>
        <w:numPr>
          <w:ilvl w:val="0"/>
          <w:numId w:val="3"/>
        </w:numPr>
        <w:pBdr>
          <w:top w:val="nil"/>
          <w:left w:val="nil"/>
          <w:bottom w:val="nil"/>
          <w:right w:val="nil"/>
          <w:between w:val="nil"/>
          <w:bar w:val="nil"/>
        </w:pBdr>
        <w:spacing w:line="240" w:lineRule="auto"/>
      </w:pPr>
      <w:r>
        <w:t>Plustur med tilladelse til brug af Ungdomskort, pris ca. 0,6-0,7 mio. kr. pr. år</w:t>
      </w:r>
    </w:p>
    <w:p w14:paraId="716B644D" w14:textId="77777777" w:rsidR="002E2DBF" w:rsidRDefault="002E2DBF" w:rsidP="00C44F3C">
      <w:pPr>
        <w:pBdr>
          <w:top w:val="nil"/>
          <w:left w:val="nil"/>
          <w:bottom w:val="nil"/>
          <w:right w:val="nil"/>
          <w:between w:val="nil"/>
          <w:bar w:val="nil"/>
        </w:pBdr>
      </w:pPr>
    </w:p>
    <w:p w14:paraId="08F0B3C4" w14:textId="77777777" w:rsidR="008A405F" w:rsidRDefault="00C44F3C" w:rsidP="00C44F3C">
      <w:pPr>
        <w:pBdr>
          <w:top w:val="nil"/>
          <w:left w:val="nil"/>
          <w:bottom w:val="nil"/>
          <w:right w:val="nil"/>
          <w:between w:val="nil"/>
          <w:bar w:val="nil"/>
        </w:pBdr>
      </w:pPr>
      <w:r>
        <w:t xml:space="preserve">Movia er ved at afklare, om det vil være muligt at tilbyde studerende med Ungdomskort, at kunne køre med Plustur uden den normale egenbetaling på 21 kr. </w:t>
      </w:r>
    </w:p>
    <w:p w14:paraId="0A649F4C" w14:textId="338965B7" w:rsidR="00956B03" w:rsidRDefault="00C44F3C" w:rsidP="00C44F3C">
      <w:pPr>
        <w:pBdr>
          <w:top w:val="nil"/>
          <w:left w:val="nil"/>
          <w:bottom w:val="nil"/>
          <w:right w:val="nil"/>
          <w:between w:val="nil"/>
          <w:bar w:val="nil"/>
        </w:pBdr>
      </w:pPr>
      <w:r>
        <w:t>Det kan oplyses, at Movia også har nedsat et Ungeråd med deltagelse fra Vordingborg, hvor der arbejdes med ideer til ’ungerabatter’ i den kollektive trafik.</w:t>
      </w:r>
      <w:r w:rsidR="008A405F">
        <w:t xml:space="preserve"> Afdeling for Trafik og Ejendomme er i kontakt med </w:t>
      </w:r>
      <w:r w:rsidR="008A405F" w:rsidRPr="008A405F">
        <w:t>Sekretariat for børns trivsel og læring om disse drøftelser</w:t>
      </w:r>
      <w:r w:rsidR="005C416A">
        <w:t>.</w:t>
      </w:r>
      <w:r w:rsidR="008A405F">
        <w:br/>
      </w:r>
    </w:p>
    <w:p w14:paraId="4293DAAF" w14:textId="28CABC35" w:rsidR="002E2DBF" w:rsidRDefault="002E2DBF" w:rsidP="00C44F3C">
      <w:pPr>
        <w:pBdr>
          <w:top w:val="nil"/>
          <w:left w:val="nil"/>
          <w:bottom w:val="nil"/>
          <w:right w:val="nil"/>
          <w:between w:val="nil"/>
          <w:bar w:val="nil"/>
        </w:pBdr>
      </w:pPr>
      <w:r>
        <w:t>Movia</w:t>
      </w:r>
      <w:r w:rsidR="005C416A">
        <w:t xml:space="preserve"> har i april 2021 udført nedenstående </w:t>
      </w:r>
      <w:r>
        <w:t xml:space="preserve">beskrivelse af </w:t>
      </w:r>
      <w:r w:rsidR="005C416A">
        <w:t xml:space="preserve">muligheder for </w:t>
      </w:r>
      <w:r>
        <w:t>Plustur i Vordingborg kommune:</w:t>
      </w:r>
    </w:p>
    <w:p w14:paraId="7649038A" w14:textId="08343164" w:rsidR="002E2DBF" w:rsidRPr="00956B03" w:rsidRDefault="00956B03" w:rsidP="00956B03">
      <w:pPr>
        <w:widowControl w:val="0"/>
        <w:snapToGrid w:val="0"/>
        <w:spacing w:before="200" w:after="200" w:line="264" w:lineRule="auto"/>
        <w:rPr>
          <w:sz w:val="20"/>
          <w:szCs w:val="20"/>
        </w:rPr>
      </w:pPr>
      <w:r w:rsidRPr="00956B03">
        <w:t xml:space="preserve">Ad 1. </w:t>
      </w:r>
      <w:r>
        <w:t>Som k</w:t>
      </w:r>
      <w:r w:rsidR="002E2DBF" w:rsidRPr="00956B03">
        <w:t xml:space="preserve">ommunalt tilbud </w:t>
      </w:r>
      <w:r>
        <w:t>med</w:t>
      </w:r>
      <w:r w:rsidR="002E2DBF" w:rsidRPr="00956B03">
        <w:t xml:space="preserve"> </w:t>
      </w:r>
      <w:r>
        <w:t>’</w:t>
      </w:r>
      <w:r w:rsidR="002E2DBF" w:rsidRPr="00956B03">
        <w:t>almindelig</w:t>
      </w:r>
      <w:r>
        <w:t>’</w:t>
      </w:r>
      <w:r w:rsidR="002E2DBF" w:rsidRPr="00956B03">
        <w:t xml:space="preserve"> </w:t>
      </w:r>
      <w:r w:rsidRPr="00956B03">
        <w:t>P</w:t>
      </w:r>
      <w:r w:rsidR="002E2DBF" w:rsidRPr="00956B03">
        <w:t xml:space="preserve">lustur i hele Vordingborg Kommune </w:t>
      </w:r>
    </w:p>
    <w:p w14:paraId="6A19B84C" w14:textId="7F6C28E1" w:rsidR="002E2DBF" w:rsidRDefault="002E2DBF" w:rsidP="002E2DBF">
      <w:r>
        <w:t xml:space="preserve">Plustur er primært tilbringer/aftager transport til bus og tog. Det er kollektiv transport, der styrker busnettet og </w:t>
      </w:r>
      <w:r w:rsidR="005C416A">
        <w:t>P</w:t>
      </w:r>
      <w:r>
        <w:t xml:space="preserve">lustur er et godt mobilitetstilbud til de borgere, der bor langt fra nærmeste busstoppested eller i områder hvor, der er mindre drift med rutebusserne. </w:t>
      </w:r>
    </w:p>
    <w:p w14:paraId="77C01C7D" w14:textId="56278830" w:rsidR="002E2DBF" w:rsidRDefault="002E2DBF" w:rsidP="002E2DBF">
      <w:r>
        <w:t xml:space="preserve">Plustur er kollektiv transport efter behov, som borgeren selv bestiller via. rejseplanen, der koordinerer </w:t>
      </w:r>
      <w:r w:rsidR="005C416A">
        <w:t>P</w:t>
      </w:r>
      <w:r>
        <w:t xml:space="preserve">lusturen med bus, tog og metro, hvis det ikke er muligt at rejse det første eller sidste stykke af rejsen på anden vis. Dette kan skyldes at der er langt mellem busafgangene eller hvis borgeren har en gåafstand på mere end 1,5 – 2 km til nærmeste busstoppested. Der tilbydes det samme antal </w:t>
      </w:r>
      <w:r w:rsidR="00436FBE">
        <w:t>P</w:t>
      </w:r>
      <w:r>
        <w:t xml:space="preserve">lusture i timen, som der er afgange med den bus eller det tog som </w:t>
      </w:r>
      <w:r w:rsidR="00436FBE">
        <w:t>P</w:t>
      </w:r>
      <w:r>
        <w:t xml:space="preserve">lusturen kombineres med. Hvis der ikke kan skiftes til bus/tog, tilbydes der </w:t>
      </w:r>
      <w:r w:rsidR="00436FBE">
        <w:t>P</w:t>
      </w:r>
      <w:r>
        <w:t xml:space="preserve">lustur hele vejen med afgang én gang i timen. En </w:t>
      </w:r>
      <w:r w:rsidR="00436FBE">
        <w:t>P</w:t>
      </w:r>
      <w:r>
        <w:t>lustur koster 21. kr. uanset turens længde og betales med betalingskort, når turen bestilles</w:t>
      </w:r>
      <w:r>
        <w:rPr>
          <w:rStyle w:val="Fodnotehenvisning"/>
        </w:rPr>
        <w:footnoteReference w:id="1"/>
      </w:r>
      <w:r>
        <w:t xml:space="preserve">. </w:t>
      </w:r>
    </w:p>
    <w:p w14:paraId="2011E24B" w14:textId="58BE9390" w:rsidR="002E2DBF" w:rsidRDefault="002E2DBF" w:rsidP="002E2DBF">
      <w:r>
        <w:t xml:space="preserve">Plustur har en særlig værdi i en kommune som Vordingborg med store landområder, hvor der er langt til bus og tog og tidspunkter hvor rutebusserne kører med timesdrift eller mindre. Det vil f.eks. være borgere bosat på Møn, der vil få øget dækning med kollektiv transport, fordi </w:t>
      </w:r>
      <w:r w:rsidR="00436FBE">
        <w:t>P</w:t>
      </w:r>
      <w:r>
        <w:t xml:space="preserve">lustur vil køre passagerer med langt til nærmeste busstoppested til enten Stege Rtb. for skift til bus 660R, Fanefjordgade 141 for skift til bus 664/750 eller Borre Kirke for skift til bus 667/678. Plustur øger den samlede mobilitet og sikrer en fleksibel og styrket kollektiv transport i hele Vordingborg Kommune, fordi </w:t>
      </w:r>
      <w:r w:rsidR="00436FBE">
        <w:t>P</w:t>
      </w:r>
      <w:r>
        <w:t>lustur er et supplement, i landområderne og på de tidspunkter hvor rutebussen ikke er i rute.</w:t>
      </w:r>
    </w:p>
    <w:p w14:paraId="69232CE3" w14:textId="222FD7DA" w:rsidR="002E2DBF" w:rsidRDefault="002E2DBF" w:rsidP="002E2DBF">
      <w:r>
        <w:t>Movia foreslår 6 skifterstede</w:t>
      </w:r>
      <w:r w:rsidR="00436FBE">
        <w:t>r</w:t>
      </w:r>
      <w:r>
        <w:t xml:space="preserve"> til/fra Plustur i Vordingborg Kommune; Præstø st., Lundby st., Stege Rtb., Vordingborg st., Mern busterminal, Borre Kirke, Bogø Hovedgade 148 og Fanefjordgade 141, hvor passagerne kan opnå gode forbindelser med bus og tog (Se figur).</w:t>
      </w:r>
    </w:p>
    <w:p w14:paraId="7EC636A4" w14:textId="1D3B663A" w:rsidR="002E2DBF" w:rsidRDefault="002E2DBF" w:rsidP="002E2DBF">
      <w:r>
        <w:rPr>
          <w:noProof/>
        </w:rPr>
        <w:drawing>
          <wp:inline distT="0" distB="0" distL="0" distR="0" wp14:anchorId="0ACD7A0B" wp14:editId="07CFA99A">
            <wp:extent cx="4794250" cy="3327400"/>
            <wp:effectExtent l="0" t="0" r="6350" b="6350"/>
            <wp:docPr id="3" name="Billede 3" descr="Et billede, der indeholder kort&#10;&#10;Automatisk genereret beskrivelse"/>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4794250" cy="3327400"/>
                    </a:xfrm>
                    <a:prstGeom prst="rect">
                      <a:avLst/>
                    </a:prstGeom>
                  </pic:spPr>
                </pic:pic>
              </a:graphicData>
            </a:graphic>
          </wp:inline>
        </w:drawing>
      </w:r>
    </w:p>
    <w:p w14:paraId="36632165" w14:textId="77777777" w:rsidR="002E2DBF" w:rsidRDefault="002E2DBF" w:rsidP="00C44F3C">
      <w:pPr>
        <w:pBdr>
          <w:top w:val="nil"/>
          <w:left w:val="nil"/>
          <w:bottom w:val="nil"/>
          <w:right w:val="nil"/>
          <w:between w:val="nil"/>
          <w:bar w:val="nil"/>
        </w:pBdr>
      </w:pPr>
    </w:p>
    <w:p w14:paraId="4D33E831" w14:textId="4AC0978F" w:rsidR="002E2DBF" w:rsidRDefault="002E2DBF" w:rsidP="002E2DBF">
      <w:pPr>
        <w:rPr>
          <w:sz w:val="20"/>
          <w:szCs w:val="20"/>
        </w:rPr>
      </w:pPr>
      <w:r>
        <w:t xml:space="preserve">Udgiften i en kommune afhænger af hvor gode bus- og togforbindelserne er i kommunen, samt hvor mange borgere, der ikke bor i nærheden af disse forbindelser. I gennemsnittet for de 21 kommuner der er tilmeldt </w:t>
      </w:r>
      <w:r w:rsidR="00436FBE">
        <w:t>P</w:t>
      </w:r>
      <w:r>
        <w:t xml:space="preserve">lustur i Movia, ligger tilskudsbehovet på </w:t>
      </w:r>
      <w:r>
        <w:rPr>
          <w:b/>
          <w:bCs/>
          <w:i/>
          <w:iCs/>
        </w:rPr>
        <w:t>130-180 kr. pr tur</w:t>
      </w:r>
      <w:r>
        <w:t xml:space="preserve">. </w:t>
      </w:r>
    </w:p>
    <w:p w14:paraId="6129A719" w14:textId="18F838D5" w:rsidR="00956B03" w:rsidRDefault="002E2DBF" w:rsidP="002E2DBF">
      <w:r>
        <w:t xml:space="preserve">Plustur kan benyttes på tværs af kommunegrænser når kommunerne er tilmeldt </w:t>
      </w:r>
      <w:r w:rsidR="00436FBE">
        <w:t>P</w:t>
      </w:r>
      <w:r>
        <w:t xml:space="preserve">lustur hos Movia. Det er den kommune hvor </w:t>
      </w:r>
      <w:r w:rsidR="00436FBE">
        <w:t>P</w:t>
      </w:r>
      <w:r>
        <w:t xml:space="preserve">lusturen er startet, der betaler udgiften. Vordingborg Kommune har på nuværende tidspunkt én nabokommune med </w:t>
      </w:r>
      <w:r w:rsidR="00436FBE">
        <w:t>P</w:t>
      </w:r>
      <w:r>
        <w:t>lustur; Næstved Kommune hvor der kan rejses på tværs af kommunegrænserne. Sammenlignet med andre kommuner på Sjælland med nogenlunde samme geografi</w:t>
      </w:r>
      <w:r w:rsidR="00436FBE">
        <w:t>,</w:t>
      </w:r>
      <w:r>
        <w:t xml:space="preserve"> hvor gennemsnits tilskudsbehovet pr. tur er på </w:t>
      </w:r>
      <w:r>
        <w:rPr>
          <w:b/>
          <w:bCs/>
          <w:i/>
          <w:iCs/>
        </w:rPr>
        <w:t>ca. 200 kr.</w:t>
      </w:r>
      <w:r>
        <w:t xml:space="preserve">, estimeres den årlige udgift til at være </w:t>
      </w:r>
      <w:r w:rsidR="00436FBE">
        <w:t xml:space="preserve">ca. </w:t>
      </w:r>
      <w:r>
        <w:rPr>
          <w:b/>
          <w:bCs/>
          <w:i/>
          <w:iCs/>
        </w:rPr>
        <w:t>5</w:t>
      </w:r>
      <w:r w:rsidR="00436FBE">
        <w:rPr>
          <w:b/>
          <w:bCs/>
          <w:i/>
          <w:iCs/>
        </w:rPr>
        <w:t>00.000 kr.</w:t>
      </w:r>
      <w:r>
        <w:rPr>
          <w:b/>
          <w:bCs/>
          <w:i/>
          <w:iCs/>
        </w:rPr>
        <w:t xml:space="preserve"> pr. år.</w:t>
      </w:r>
      <w:r>
        <w:br/>
      </w:r>
      <w:r>
        <w:rPr>
          <w:i/>
          <w:iCs/>
        </w:rPr>
        <w:t xml:space="preserve">Det bemærkes at dette er et skøn ud fra nuværende erfaringer med </w:t>
      </w:r>
      <w:r w:rsidR="00436FBE">
        <w:rPr>
          <w:i/>
          <w:iCs/>
        </w:rPr>
        <w:t>P</w:t>
      </w:r>
      <w:r>
        <w:rPr>
          <w:i/>
          <w:iCs/>
        </w:rPr>
        <w:t xml:space="preserve">lustur og på et tidspunkt, hvor effekten af covid-19 er ukendt. </w:t>
      </w:r>
      <w:r>
        <w:t xml:space="preserve"> </w:t>
      </w:r>
    </w:p>
    <w:p w14:paraId="76E76FF9" w14:textId="73515265" w:rsidR="002E2DBF" w:rsidRDefault="002E2DBF" w:rsidP="002E2DBF">
      <w:r>
        <w:rPr>
          <w:u w:val="single"/>
        </w:rPr>
        <w:t xml:space="preserve">Plustur kan ikke erstatte </w:t>
      </w:r>
      <w:r w:rsidR="00956B03">
        <w:rPr>
          <w:u w:val="single"/>
        </w:rPr>
        <w:t>F</w:t>
      </w:r>
      <w:r>
        <w:rPr>
          <w:u w:val="single"/>
        </w:rPr>
        <w:t>lextur</w:t>
      </w:r>
      <w:r>
        <w:rPr>
          <w:b/>
          <w:bCs/>
        </w:rPr>
        <w:br/>
      </w:r>
      <w:r>
        <w:t xml:space="preserve">Det er to forskellige kundegrupper der anvender </w:t>
      </w:r>
      <w:r w:rsidR="00436FBE">
        <w:t>F</w:t>
      </w:r>
      <w:r>
        <w:t xml:space="preserve">lextur og </w:t>
      </w:r>
      <w:r w:rsidR="00436FBE">
        <w:t>P</w:t>
      </w:r>
      <w:r>
        <w:t xml:space="preserve">lustur. I </w:t>
      </w:r>
      <w:r w:rsidR="00956B03">
        <w:t>P</w:t>
      </w:r>
      <w:r>
        <w:t xml:space="preserve">lustur er 60 pct. under 40 år og i </w:t>
      </w:r>
      <w:r w:rsidR="00956B03">
        <w:t>F</w:t>
      </w:r>
      <w:r>
        <w:t xml:space="preserve">lextur er 65 pct. 70 år eller derover. </w:t>
      </w:r>
    </w:p>
    <w:p w14:paraId="27BFA503" w14:textId="77777777" w:rsidR="002E2DBF" w:rsidRDefault="002E2DBF" w:rsidP="002E2DBF"/>
    <w:p w14:paraId="4ADD5F84" w14:textId="050B2D1F" w:rsidR="002E2DBF" w:rsidRPr="00956B03" w:rsidRDefault="00956B03" w:rsidP="00956B03">
      <w:pPr>
        <w:widowControl w:val="0"/>
        <w:snapToGrid w:val="0"/>
        <w:spacing w:before="200" w:after="200" w:line="264" w:lineRule="auto"/>
      </w:pPr>
      <w:r w:rsidRPr="00956B03">
        <w:t xml:space="preserve">Ad 2. </w:t>
      </w:r>
      <w:r w:rsidR="002E2DBF" w:rsidRPr="00956B03">
        <w:t xml:space="preserve">Plustur som </w:t>
      </w:r>
      <w:r w:rsidRPr="00956B03">
        <w:t xml:space="preserve">en videreførelse af </w:t>
      </w:r>
      <w:r w:rsidR="002E2DBF" w:rsidRPr="00956B03">
        <w:t>Studieflex</w:t>
      </w:r>
    </w:p>
    <w:p w14:paraId="29A62026" w14:textId="696058CB" w:rsidR="002E2DBF" w:rsidRDefault="002E2DBF" w:rsidP="002E2DBF">
      <w:pPr>
        <w:spacing w:after="160" w:line="256" w:lineRule="auto"/>
      </w:pPr>
      <w:r>
        <w:t>Studieflex har som en forsøgsordning i årene 2019 og 2020 bidraget til at 30</w:t>
      </w:r>
      <w:r>
        <w:rPr>
          <w:color w:val="FF0000"/>
        </w:rPr>
        <w:t xml:space="preserve"> </w:t>
      </w:r>
      <w:r>
        <w:t xml:space="preserve">studerende i Vordingborg Kommune med langt til ungdomsuddannelse har fået en kortere og lettere rejse med kollektiv transport til deres uddannelsesinstitution. Der er i alt kørt 621 ture i 2019 (start august) og 1997 ture i hele 2020 (Corona år). De studerende er blevet kørt som </w:t>
      </w:r>
      <w:r w:rsidR="00956B03">
        <w:t>F</w:t>
      </w:r>
      <w:r>
        <w:t xml:space="preserve">lextur med Movias Flextrafik direkte fra adresse uden skift til andre former for kollektiv transport. Den årlige Kommunale udgift i 2020 til Studieflex har været på 460.000 kr. </w:t>
      </w:r>
    </w:p>
    <w:p w14:paraId="652C196F" w14:textId="1E102DD4" w:rsidR="002E2DBF" w:rsidRDefault="002E2DBF" w:rsidP="002E2DBF">
      <w:pPr>
        <w:rPr>
          <w:rFonts w:cs="Arial"/>
        </w:rPr>
      </w:pPr>
      <w:r>
        <w:rPr>
          <w:rFonts w:cs="Arial"/>
        </w:rPr>
        <w:t xml:space="preserve">Med </w:t>
      </w:r>
      <w:r w:rsidR="00956B03">
        <w:rPr>
          <w:rFonts w:cs="Arial"/>
        </w:rPr>
        <w:t>P</w:t>
      </w:r>
      <w:r>
        <w:rPr>
          <w:rFonts w:cs="Arial"/>
        </w:rPr>
        <w:t xml:space="preserve">lustur kan der ligeledes tilbydes kollektiv transport hele vejen til og fra hjemmeadressen, for dem der bor langt fra busstoppestedet. Med </w:t>
      </w:r>
      <w:r w:rsidR="00956B03">
        <w:rPr>
          <w:rFonts w:cs="Arial"/>
        </w:rPr>
        <w:t>P</w:t>
      </w:r>
      <w:r>
        <w:rPr>
          <w:rFonts w:cs="Arial"/>
        </w:rPr>
        <w:t xml:space="preserve">lustur bliver de studerende kørt til nærmeste skiftested for </w:t>
      </w:r>
      <w:r w:rsidR="00956B03">
        <w:rPr>
          <w:rFonts w:cs="Arial"/>
        </w:rPr>
        <w:t>P</w:t>
      </w:r>
      <w:r>
        <w:rPr>
          <w:rFonts w:cs="Arial"/>
        </w:rPr>
        <w:t xml:space="preserve">lustur og rejsen skal bestilles i rejseplanen. Dette vil selvfølgelig medføre et eller flere skift på deres rejse, end hvis de køres med </w:t>
      </w:r>
      <w:r w:rsidR="00956B03">
        <w:rPr>
          <w:rFonts w:cs="Arial"/>
        </w:rPr>
        <w:t>F</w:t>
      </w:r>
      <w:r>
        <w:rPr>
          <w:rFonts w:cs="Arial"/>
        </w:rPr>
        <w:t xml:space="preserve">lextur direkte fra A til B. Er der for mange skift på rejsen, kan det også påvirke et fravalg af den kollektive transport. </w:t>
      </w:r>
    </w:p>
    <w:p w14:paraId="67D8AA0A" w14:textId="0272B9F5" w:rsidR="002E2DBF" w:rsidRDefault="002E2DBF" w:rsidP="002E2DBF">
      <w:pPr>
        <w:rPr>
          <w:rFonts w:cs="Arial"/>
        </w:rPr>
      </w:pPr>
      <w:r>
        <w:t xml:space="preserve">Tilmed vurderes et tilbud om </w:t>
      </w:r>
      <w:r w:rsidR="00956B03">
        <w:t>P</w:t>
      </w:r>
      <w:r>
        <w:t xml:space="preserve">lustur som et godt tilbud og alternativ til Studieflex. </w:t>
      </w:r>
      <w:r>
        <w:rPr>
          <w:rFonts w:cs="Arial"/>
        </w:rPr>
        <w:t xml:space="preserve">Det vil forsat give studerende med langt til uddannelse en bedre og mere attraktiv transport, og en forbedret mobilitet end hvis der ikke var noget tilbud. Movia er i gang med at afklare, om det vil være muligt at tilbyde studerende med et Ungdomskort, at kunne køre med </w:t>
      </w:r>
      <w:r w:rsidR="00956B03">
        <w:rPr>
          <w:rFonts w:cs="Arial"/>
        </w:rPr>
        <w:t>P</w:t>
      </w:r>
      <w:r>
        <w:rPr>
          <w:rFonts w:cs="Arial"/>
        </w:rPr>
        <w:t xml:space="preserve">lustur uden den normale egenbetaling på 21 kr. pr. tur hvis kommunen har behov for at tilbyde dette. </w:t>
      </w:r>
    </w:p>
    <w:p w14:paraId="7E001EFD" w14:textId="0654B0B8" w:rsidR="002E2DBF" w:rsidRDefault="002E2DBF" w:rsidP="002E2DBF">
      <w:pPr>
        <w:rPr>
          <w:rFonts w:cs="Arial"/>
        </w:rPr>
      </w:pPr>
      <w:r>
        <w:rPr>
          <w:rFonts w:cs="Arial"/>
        </w:rPr>
        <w:t xml:space="preserve">Movias administration har undersøgt 10 studerende med langt til uddannelsesinstitution, der hyppigst har anvendt A til B rejser med Studieflex i forsøgsperioden. For størstedelen gælder det at rejsetiden bliver dobbelt så lang og indebærer et skift. </w:t>
      </w:r>
    </w:p>
    <w:p w14:paraId="65B1DC8C" w14:textId="6A325266" w:rsidR="002E2DBF" w:rsidRDefault="002E2DBF" w:rsidP="002E2DBF">
      <w:pPr>
        <w:rPr>
          <w:rFonts w:cs="Arial"/>
          <w:u w:val="single"/>
        </w:rPr>
      </w:pPr>
      <w:r>
        <w:rPr>
          <w:rFonts w:cs="Arial"/>
          <w:u w:val="single"/>
        </w:rPr>
        <w:br/>
      </w:r>
      <w:r>
        <w:rPr>
          <w:rFonts w:cs="Arial"/>
        </w:rPr>
        <w:t xml:space="preserve">Det vil ikke være alle studerende, der på nuværende tidspunkt anvender Studieflex, der vil have mulighed for at køre med </w:t>
      </w:r>
      <w:r w:rsidR="00956B03">
        <w:rPr>
          <w:rFonts w:cs="Arial"/>
        </w:rPr>
        <w:t>P</w:t>
      </w:r>
      <w:r>
        <w:rPr>
          <w:rFonts w:cs="Arial"/>
        </w:rPr>
        <w:t xml:space="preserve">lustur (bor ikke langt nok væk fra et busstoppested). Visitationskriteriet der benyttes i </w:t>
      </w:r>
      <w:r w:rsidR="00956B03">
        <w:rPr>
          <w:rFonts w:cs="Arial"/>
        </w:rPr>
        <w:t>P</w:t>
      </w:r>
      <w:r>
        <w:rPr>
          <w:rFonts w:cs="Arial"/>
        </w:rPr>
        <w:t>lustur, er således mere restriktivt end visitationskriteriet i den nuværende Studieflexordning som tilbydes af Vordingborg kommune.</w:t>
      </w:r>
    </w:p>
    <w:p w14:paraId="7366E4D0" w14:textId="5D3F9CA6" w:rsidR="002E2DBF" w:rsidRDefault="002E2DBF" w:rsidP="002E2DBF">
      <w:pPr>
        <w:rPr>
          <w:rFonts w:cs="Arial"/>
        </w:rPr>
      </w:pPr>
      <w:r>
        <w:rPr>
          <w:rFonts w:cs="Arial"/>
        </w:rPr>
        <w:t xml:space="preserve">Med et estimat på gennemsnitlig 158 Studieflex-ture pr. måned i 2020 (udregnet på baggrund af skolemåneder uden nedlukning i 2020 og estimeret 200 skoledage pr. år), og et frafald på 40 pct. ved ophør af Studieflex vil dette give et gennemsnitligt årligt antal studieture med </w:t>
      </w:r>
      <w:r w:rsidR="00956B03">
        <w:rPr>
          <w:rFonts w:cs="Arial"/>
        </w:rPr>
        <w:t>P</w:t>
      </w:r>
      <w:r>
        <w:rPr>
          <w:rFonts w:cs="Arial"/>
        </w:rPr>
        <w:t xml:space="preserve">lustur på </w:t>
      </w:r>
      <w:r>
        <w:rPr>
          <w:rFonts w:cs="Arial"/>
          <w:b/>
          <w:bCs/>
          <w:i/>
          <w:iCs/>
        </w:rPr>
        <w:t>1200 ture.</w:t>
      </w:r>
      <w:r>
        <w:rPr>
          <w:rFonts w:cs="Arial"/>
        </w:rPr>
        <w:t xml:space="preserve"> </w:t>
      </w:r>
    </w:p>
    <w:p w14:paraId="4D64E65D" w14:textId="6DEBC235" w:rsidR="002E2DBF" w:rsidRDefault="002E2DBF" w:rsidP="002E2DBF">
      <w:pPr>
        <w:rPr>
          <w:rFonts w:cs="Arial"/>
        </w:rPr>
      </w:pPr>
      <w:r>
        <w:rPr>
          <w:rFonts w:cs="Arial"/>
        </w:rPr>
        <w:t xml:space="preserve">Med en gennemsnitlig turpris på 200 kr. for en </w:t>
      </w:r>
      <w:r w:rsidR="00436FBE">
        <w:rPr>
          <w:rFonts w:cs="Arial"/>
        </w:rPr>
        <w:t>P</w:t>
      </w:r>
      <w:r>
        <w:rPr>
          <w:rFonts w:cs="Arial"/>
        </w:rPr>
        <w:t xml:space="preserve">lustur estimeres den årlige kommunale udgift til </w:t>
      </w:r>
      <w:r w:rsidR="008A405F">
        <w:rPr>
          <w:rFonts w:cs="Arial"/>
        </w:rPr>
        <w:t>P</w:t>
      </w:r>
      <w:r>
        <w:rPr>
          <w:rFonts w:cs="Arial"/>
        </w:rPr>
        <w:t xml:space="preserve">lustur for studerende med langt til uddannelse til </w:t>
      </w:r>
      <w:r w:rsidR="00436FBE">
        <w:rPr>
          <w:rFonts w:cs="Arial"/>
        </w:rPr>
        <w:t xml:space="preserve">ca. </w:t>
      </w:r>
      <w:r>
        <w:rPr>
          <w:rFonts w:cs="Arial"/>
          <w:b/>
          <w:bCs/>
          <w:i/>
          <w:iCs/>
        </w:rPr>
        <w:t>240.000 kr</w:t>
      </w:r>
      <w:r>
        <w:rPr>
          <w:rFonts w:cs="Arial"/>
        </w:rPr>
        <w:t xml:space="preserve">. ekskl. brugerbetaling på 21 kr. (1200 x 21 kr. 50.400 kr.). Heraf vil en stor del af turene indgå i estimatet for udgifterne til almindelig </w:t>
      </w:r>
      <w:r w:rsidR="00436FBE">
        <w:rPr>
          <w:rFonts w:cs="Arial"/>
        </w:rPr>
        <w:t>P</w:t>
      </w:r>
      <w:r>
        <w:rPr>
          <w:rFonts w:cs="Arial"/>
        </w:rPr>
        <w:t xml:space="preserve">lustur i hele Vordingborg Kommune. </w:t>
      </w:r>
    </w:p>
    <w:p w14:paraId="32E65FB8" w14:textId="3760F6CC" w:rsidR="002E2DBF" w:rsidRDefault="002E2DBF" w:rsidP="002E2DBF">
      <w:pPr>
        <w:rPr>
          <w:rFonts w:cs="Arial"/>
          <w:b/>
          <w:bCs/>
          <w:i/>
          <w:iCs/>
        </w:rPr>
      </w:pPr>
      <w:r>
        <w:rPr>
          <w:rFonts w:cs="Arial"/>
        </w:rPr>
        <w:t xml:space="preserve">Med tilbud om almindelig plustur i hele Vordingborg Kommune samt tilbud om plustur til studerende med Ungdomskort estimeres den årlige udgift til </w:t>
      </w:r>
      <w:r w:rsidR="00436FBE">
        <w:rPr>
          <w:rFonts w:cs="Arial"/>
        </w:rPr>
        <w:t>P</w:t>
      </w:r>
      <w:r>
        <w:rPr>
          <w:rFonts w:cs="Arial"/>
        </w:rPr>
        <w:t xml:space="preserve">lustur på </w:t>
      </w:r>
      <w:r w:rsidR="00436FBE">
        <w:rPr>
          <w:rFonts w:cs="Arial"/>
        </w:rPr>
        <w:t xml:space="preserve">ca. </w:t>
      </w:r>
      <w:r>
        <w:rPr>
          <w:rFonts w:cs="Arial"/>
          <w:b/>
          <w:bCs/>
          <w:i/>
          <w:iCs/>
        </w:rPr>
        <w:t xml:space="preserve">600-700.000 kr. </w:t>
      </w:r>
    </w:p>
    <w:p w14:paraId="1DE8CFA5" w14:textId="0772B720" w:rsidR="00CF0523" w:rsidRDefault="00CF0523" w:rsidP="002E2DBF">
      <w:pPr>
        <w:rPr>
          <w:rFonts w:cs="Arial"/>
          <w:b/>
          <w:bCs/>
          <w:i/>
          <w:iCs/>
        </w:rPr>
      </w:pPr>
    </w:p>
    <w:p w14:paraId="56E7F35B" w14:textId="1B6FD4C2" w:rsidR="00CF0523" w:rsidRDefault="00CF0523" w:rsidP="002E2DBF">
      <w:pPr>
        <w:rPr>
          <w:rFonts w:cs="Arial"/>
          <w:b/>
          <w:bCs/>
          <w:i/>
          <w:iCs/>
        </w:rPr>
      </w:pPr>
    </w:p>
    <w:p w14:paraId="2C41E321" w14:textId="5CA2852C" w:rsidR="00CF0523" w:rsidRPr="00CF0523" w:rsidRDefault="00CF0523" w:rsidP="002E2DBF">
      <w:pPr>
        <w:rPr>
          <w:rFonts w:cs="Arial"/>
        </w:rPr>
      </w:pPr>
      <w:r w:rsidRPr="00CF0523">
        <w:rPr>
          <w:rFonts w:cs="Arial"/>
          <w:b/>
          <w:bCs/>
        </w:rPr>
        <w:t>Note 6</w:t>
      </w:r>
    </w:p>
    <w:p w14:paraId="4ABAABEE" w14:textId="4A9FE84B" w:rsidR="00722867" w:rsidRDefault="00CF0523" w:rsidP="002E2DBF">
      <w:pPr>
        <w:spacing w:after="160" w:line="256" w:lineRule="auto"/>
      </w:pPr>
      <w:r w:rsidRPr="00CF0523">
        <w:t xml:space="preserve">Buslinje 669 (Lundby-Præstø-Kalvehave) betjenes med 2 fysiske busser </w:t>
      </w:r>
      <w:r>
        <w:t xml:space="preserve">i en 1-times køreplan, kun på hverdage, i tidsrummet kl. 5-17. </w:t>
      </w:r>
      <w:bookmarkStart w:id="1" w:name="_Hlk71211828"/>
      <w:r>
        <w:t xml:space="preserve">Det årlige passagertal var i 2019 på 49.668 (inden Corona). </w:t>
      </w:r>
      <w:bookmarkEnd w:id="1"/>
    </w:p>
    <w:p w14:paraId="226F2BE4" w14:textId="502C3359" w:rsidR="00956B03" w:rsidRDefault="008419CF" w:rsidP="002E2DBF">
      <w:pPr>
        <w:spacing w:after="160" w:line="256" w:lineRule="auto"/>
      </w:pPr>
      <w:r>
        <w:t xml:space="preserve">Kommunens tilskudsbehov var i Movias regnskab 2019 på 2,5 mio. kr. </w:t>
      </w:r>
      <w:r w:rsidR="00CF0523">
        <w:t>Passagertallene fordelt på timebånd er vist nedenfor.</w:t>
      </w:r>
      <w:r>
        <w:t xml:space="preserve"> Bemærk at passagertallene er samlet for 2 fysiske busser. </w:t>
      </w:r>
      <w:r w:rsidR="00C616FC">
        <w:t xml:space="preserve">På afgangen kl. 11 er der således gennemsnitligt ca. 6 passagerer i hver bus. </w:t>
      </w:r>
    </w:p>
    <w:p w14:paraId="1752D34D" w14:textId="5F80ECEA" w:rsidR="00CF0523" w:rsidRDefault="00CF0523" w:rsidP="002E2DBF">
      <w:pPr>
        <w:spacing w:after="160" w:line="256" w:lineRule="auto"/>
      </w:pPr>
    </w:p>
    <w:p w14:paraId="700DB2D5" w14:textId="70AC6453" w:rsidR="00CF0523" w:rsidRPr="00CF0523" w:rsidRDefault="00CF0523" w:rsidP="002E2DBF">
      <w:pPr>
        <w:spacing w:after="160" w:line="256" w:lineRule="auto"/>
      </w:pPr>
      <w:r>
        <w:rPr>
          <w:noProof/>
        </w:rPr>
        <w:drawing>
          <wp:inline distT="0" distB="0" distL="0" distR="0" wp14:anchorId="2091A796" wp14:editId="7A262CB9">
            <wp:extent cx="5976620" cy="2631440"/>
            <wp:effectExtent l="0" t="0" r="508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6620" cy="2631440"/>
                    </a:xfrm>
                    <a:prstGeom prst="rect">
                      <a:avLst/>
                    </a:prstGeom>
                  </pic:spPr>
                </pic:pic>
              </a:graphicData>
            </a:graphic>
          </wp:inline>
        </w:drawing>
      </w:r>
    </w:p>
    <w:p w14:paraId="3D9C4821" w14:textId="77777777" w:rsidR="00C44F3C" w:rsidRDefault="00C44F3C" w:rsidP="00C44F3C">
      <w:pPr>
        <w:pBdr>
          <w:top w:val="nil"/>
          <w:left w:val="nil"/>
          <w:bottom w:val="nil"/>
          <w:right w:val="nil"/>
          <w:between w:val="nil"/>
          <w:bar w:val="nil"/>
        </w:pBdr>
      </w:pPr>
    </w:p>
    <w:p w14:paraId="2F87F806" w14:textId="25C606FE" w:rsidR="00C44F3C" w:rsidRDefault="008419CF" w:rsidP="00C44F3C">
      <w:pPr>
        <w:pBdr>
          <w:top w:val="nil"/>
          <w:left w:val="nil"/>
          <w:bottom w:val="nil"/>
          <w:right w:val="nil"/>
          <w:between w:val="nil"/>
          <w:bar w:val="nil"/>
        </w:pBdr>
      </w:pPr>
      <w:r>
        <w:t>Movia har to forslag til besparelse</w:t>
      </w:r>
      <w:r w:rsidR="00255421">
        <w:t xml:space="preserve">, </w:t>
      </w:r>
      <w:r w:rsidR="0011244E">
        <w:t>hvis</w:t>
      </w:r>
      <w:r w:rsidR="00255421">
        <w:t xml:space="preserve"> der skal findes 800.000 kr</w:t>
      </w:r>
      <w:r w:rsidR="0011244E">
        <w:t>.</w:t>
      </w:r>
      <w:r w:rsidR="00722867">
        <w:t xml:space="preserve"> i årsvirkning</w:t>
      </w:r>
      <w:r>
        <w:t>:</w:t>
      </w:r>
    </w:p>
    <w:p w14:paraId="2281560A" w14:textId="77777777" w:rsidR="00255421" w:rsidRDefault="00255421" w:rsidP="00C44F3C">
      <w:pPr>
        <w:pBdr>
          <w:top w:val="nil"/>
          <w:left w:val="nil"/>
          <w:bottom w:val="nil"/>
          <w:right w:val="nil"/>
          <w:between w:val="nil"/>
          <w:bar w:val="nil"/>
        </w:pBdr>
      </w:pPr>
    </w:p>
    <w:p w14:paraId="631474D2" w14:textId="2D7EF404" w:rsidR="008419CF" w:rsidRDefault="00C616FC" w:rsidP="00C616FC">
      <w:pPr>
        <w:pStyle w:val="Listeafsnit"/>
        <w:numPr>
          <w:ilvl w:val="0"/>
          <w:numId w:val="5"/>
        </w:numPr>
        <w:pBdr>
          <w:top w:val="nil"/>
          <w:left w:val="nil"/>
          <w:bottom w:val="nil"/>
          <w:right w:val="nil"/>
          <w:between w:val="nil"/>
          <w:bar w:val="nil"/>
        </w:pBdr>
      </w:pPr>
      <w:r>
        <w:t xml:space="preserve">Bortfald af </w:t>
      </w:r>
      <w:r w:rsidR="00255421">
        <w:t xml:space="preserve">5 </w:t>
      </w:r>
      <w:r>
        <w:t>afgange på timebånd</w:t>
      </w:r>
      <w:r w:rsidR="00255421">
        <w:t>et:</w:t>
      </w:r>
      <w:r>
        <w:t xml:space="preserve"> kl. 9-10-11-12-17. Dette anslås til at reducere passagerantallet med ca. 20.000 og spare ca. 700.000 kr.</w:t>
      </w:r>
    </w:p>
    <w:p w14:paraId="5B077572" w14:textId="530DE145" w:rsidR="00C616FC" w:rsidRDefault="00C616FC" w:rsidP="00C616FC">
      <w:pPr>
        <w:pStyle w:val="Listeafsnit"/>
        <w:numPr>
          <w:ilvl w:val="0"/>
          <w:numId w:val="5"/>
        </w:numPr>
        <w:pBdr>
          <w:top w:val="nil"/>
          <w:left w:val="nil"/>
          <w:bottom w:val="nil"/>
          <w:right w:val="nil"/>
          <w:between w:val="nil"/>
          <w:bar w:val="nil"/>
        </w:pBdr>
      </w:pPr>
      <w:r>
        <w:t>Bortfald af den ene fysiske bus, så der kun køres med 2-timers drift (bortfald af hver andet af timebåndene). Dette anslås til at reducere passagerantallet med ca. 16.000 og spare ca. 1.000.000 kr.</w:t>
      </w:r>
    </w:p>
    <w:p w14:paraId="0802EC8C" w14:textId="1982B0F9" w:rsidR="00C616FC" w:rsidRDefault="00C616FC" w:rsidP="00C616FC">
      <w:pPr>
        <w:pBdr>
          <w:top w:val="nil"/>
          <w:left w:val="nil"/>
          <w:bottom w:val="nil"/>
          <w:right w:val="nil"/>
          <w:between w:val="nil"/>
          <w:bar w:val="nil"/>
        </w:pBdr>
        <w:ind w:left="360"/>
      </w:pPr>
    </w:p>
    <w:p w14:paraId="45CC004C" w14:textId="7860F684" w:rsidR="00C616FC" w:rsidRDefault="00C616FC" w:rsidP="00C616FC">
      <w:pPr>
        <w:pBdr>
          <w:top w:val="nil"/>
          <w:left w:val="nil"/>
          <w:bottom w:val="nil"/>
          <w:right w:val="nil"/>
          <w:between w:val="nil"/>
          <w:bar w:val="nil"/>
        </w:pBdr>
        <w:ind w:left="360"/>
      </w:pPr>
      <w:r>
        <w:t>Movia kan ikke anbefale 2-timers drift, da erfaringen er, at bussen herefter vil have stor risiko for ikke at blive benyttet og derved helt lukke</w:t>
      </w:r>
      <w:r w:rsidR="002E7319">
        <w:t xml:space="preserve"> efter få år</w:t>
      </w:r>
      <w:r>
        <w:t>. Derfor anbefales løsning 1, som dog ikke helt tilfredsstiller sparekravet på 800.000 kr.</w:t>
      </w:r>
    </w:p>
    <w:p w14:paraId="5D57E32F" w14:textId="0FB36A87" w:rsidR="00722867" w:rsidRDefault="00722867" w:rsidP="00C616FC">
      <w:pPr>
        <w:pBdr>
          <w:top w:val="nil"/>
          <w:left w:val="nil"/>
          <w:bottom w:val="nil"/>
          <w:right w:val="nil"/>
          <w:between w:val="nil"/>
          <w:bar w:val="nil"/>
        </w:pBdr>
        <w:ind w:left="360"/>
      </w:pPr>
    </w:p>
    <w:p w14:paraId="710A7875" w14:textId="27277D8D" w:rsidR="00722867" w:rsidRDefault="00722867" w:rsidP="00C616FC">
      <w:pPr>
        <w:pBdr>
          <w:top w:val="nil"/>
          <w:left w:val="nil"/>
          <w:bottom w:val="nil"/>
          <w:right w:val="nil"/>
          <w:between w:val="nil"/>
          <w:bar w:val="nil"/>
        </w:pBdr>
        <w:ind w:left="360"/>
      </w:pPr>
      <w:r>
        <w:t xml:space="preserve">Årsvirkningen af en besparelse i TB2022 vil kun være 50% i kommunens budget 2022. Først fra 2023 vil besparelsen have den fulde effekt. </w:t>
      </w:r>
    </w:p>
    <w:p w14:paraId="70FC3E69" w14:textId="77777777" w:rsidR="00C44F3C" w:rsidRPr="00BB3686" w:rsidRDefault="00C44F3C" w:rsidP="00BB3686">
      <w:pPr>
        <w:rPr>
          <w:b/>
          <w:bCs/>
        </w:rPr>
      </w:pPr>
    </w:p>
    <w:sectPr w:rsidR="00C44F3C" w:rsidRPr="00BB3686" w:rsidSect="0021683A">
      <w:headerReference w:type="first" r:id="rId11"/>
      <w:pgSz w:w="11906" w:h="16838"/>
      <w:pgMar w:top="851"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F20D" w14:textId="77777777" w:rsidR="009059E3" w:rsidRPr="009059E3" w:rsidRDefault="009059E3">
      <w:r w:rsidRPr="009059E3">
        <w:separator/>
      </w:r>
    </w:p>
  </w:endnote>
  <w:endnote w:type="continuationSeparator" w:id="0">
    <w:p w14:paraId="2700585D" w14:textId="77777777" w:rsidR="009059E3" w:rsidRPr="009059E3" w:rsidRDefault="009059E3">
      <w:r w:rsidRPr="009059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3074" w14:textId="77777777" w:rsidR="009059E3" w:rsidRPr="009059E3" w:rsidRDefault="009059E3">
      <w:r w:rsidRPr="009059E3">
        <w:separator/>
      </w:r>
    </w:p>
  </w:footnote>
  <w:footnote w:type="continuationSeparator" w:id="0">
    <w:p w14:paraId="7CAB37DE" w14:textId="77777777" w:rsidR="009059E3" w:rsidRPr="009059E3" w:rsidRDefault="009059E3">
      <w:r w:rsidRPr="009059E3">
        <w:continuationSeparator/>
      </w:r>
    </w:p>
  </w:footnote>
  <w:footnote w:id="1">
    <w:p w14:paraId="057DF1E9" w14:textId="77777777" w:rsidR="002E2DBF" w:rsidRDefault="002E2DBF" w:rsidP="002E2DBF">
      <w:pPr>
        <w:pStyle w:val="Fodnotetekst"/>
      </w:pPr>
      <w:r>
        <w:rPr>
          <w:rStyle w:val="Fodnotehenvisning"/>
        </w:rPr>
        <w:footnoteRef/>
      </w:r>
      <w:r>
        <w:t xml:space="preserve"> Se i videoen </w:t>
      </w:r>
      <w:hyperlink r:id="rId1" w:history="1">
        <w:r>
          <w:rPr>
            <w:rStyle w:val="Hyperlink"/>
          </w:rPr>
          <w:t>her</w:t>
        </w:r>
      </w:hyperlink>
      <w:r>
        <w:t xml:space="preserve"> hvordan der bestilles en plustur i Rejseplanen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567" w:vertAnchor="page" w:horzAnchor="page" w:tblpX="8846" w:tblpY="4254"/>
      <w:tblOverlap w:val="never"/>
      <w:tblW w:w="0" w:type="auto"/>
      <w:tblLayout w:type="fixed"/>
      <w:tblCellMar>
        <w:left w:w="0" w:type="dxa"/>
        <w:right w:w="0" w:type="dxa"/>
      </w:tblCellMar>
      <w:tblLook w:val="04A0" w:firstRow="1" w:lastRow="0" w:firstColumn="1" w:lastColumn="0" w:noHBand="0" w:noVBand="1"/>
    </w:tblPr>
    <w:tblGrid>
      <w:gridCol w:w="2094"/>
    </w:tblGrid>
    <w:tr w:rsidR="006E2DE1" w:rsidRPr="009059E3" w14:paraId="2AA7C837" w14:textId="77777777" w:rsidTr="0021683A">
      <w:trPr>
        <w:trHeight w:val="3096"/>
      </w:trPr>
      <w:tc>
        <w:tcPr>
          <w:tcW w:w="2094" w:type="dxa"/>
        </w:tcPr>
        <w:p w14:paraId="5DA5C3E2" w14:textId="77777777" w:rsidR="009059E3" w:rsidRPr="009059E3" w:rsidRDefault="009059E3" w:rsidP="009059E3">
          <w:pPr>
            <w:rPr>
              <w:rFonts w:cs="Arial"/>
            </w:rPr>
          </w:pPr>
          <w:r w:rsidRPr="009059E3">
            <w:rPr>
              <w:rFonts w:cs="Arial"/>
              <w:b/>
              <w:sz w:val="19"/>
            </w:rPr>
            <w:t>28-04-2021</w:t>
          </w:r>
        </w:p>
        <w:p w14:paraId="3B58A2DF" w14:textId="77777777" w:rsidR="009059E3" w:rsidRPr="009059E3" w:rsidRDefault="009059E3" w:rsidP="009059E3">
          <w:pPr>
            <w:rPr>
              <w:rFonts w:cs="Arial"/>
            </w:rPr>
          </w:pPr>
        </w:p>
        <w:p w14:paraId="526D22D2" w14:textId="77777777" w:rsidR="009059E3" w:rsidRPr="009059E3" w:rsidRDefault="009059E3" w:rsidP="009059E3">
          <w:pPr>
            <w:rPr>
              <w:rFonts w:cs="Arial"/>
            </w:rPr>
          </w:pPr>
          <w:r w:rsidRPr="009059E3">
            <w:rPr>
              <w:rFonts w:cs="Arial"/>
              <w:b/>
              <w:color w:val="666666"/>
              <w:sz w:val="19"/>
            </w:rPr>
            <w:t xml:space="preserve">Sagsnr.: </w:t>
          </w:r>
          <w:r w:rsidRPr="009059E3">
            <w:rPr>
              <w:rFonts w:cs="Arial"/>
              <w:color w:val="666666"/>
              <w:sz w:val="19"/>
            </w:rPr>
            <w:t>20/28522</w:t>
          </w:r>
        </w:p>
        <w:p w14:paraId="3FDDBC03" w14:textId="16B5F833" w:rsidR="009059E3" w:rsidRPr="009059E3" w:rsidRDefault="009059E3" w:rsidP="009059E3">
          <w:pPr>
            <w:rPr>
              <w:rFonts w:cs="Arial"/>
            </w:rPr>
          </w:pPr>
          <w:r w:rsidRPr="009059E3">
            <w:rPr>
              <w:rFonts w:cs="Arial"/>
              <w:b/>
              <w:color w:val="666666"/>
              <w:sz w:val="19"/>
            </w:rPr>
            <w:t xml:space="preserve">Dok.nr.: </w:t>
          </w:r>
          <w:r w:rsidR="0021683A">
            <w:rPr>
              <w:rFonts w:cs="Arial"/>
              <w:b/>
              <w:color w:val="666666"/>
              <w:sz w:val="19"/>
            </w:rPr>
            <w:t>21/84632</w:t>
          </w:r>
        </w:p>
        <w:p w14:paraId="3882A43E" w14:textId="77777777" w:rsidR="009059E3" w:rsidRPr="009059E3" w:rsidRDefault="009059E3" w:rsidP="009059E3">
          <w:pPr>
            <w:rPr>
              <w:rFonts w:cs="Arial"/>
            </w:rPr>
          </w:pPr>
        </w:p>
        <w:p w14:paraId="06E3C09C" w14:textId="77777777" w:rsidR="009059E3" w:rsidRPr="009059E3" w:rsidRDefault="009059E3" w:rsidP="009059E3">
          <w:pPr>
            <w:spacing w:line="219" w:lineRule="atLeast"/>
            <w:rPr>
              <w:rFonts w:cs="Arial"/>
              <w:b/>
              <w:color w:val="666666"/>
              <w:sz w:val="19"/>
            </w:rPr>
          </w:pPr>
          <w:r w:rsidRPr="009059E3">
            <w:rPr>
              <w:rFonts w:cs="Arial"/>
              <w:b/>
              <w:color w:val="666666"/>
              <w:sz w:val="19"/>
            </w:rPr>
            <w:t>Sagsbehandler:</w:t>
          </w:r>
        </w:p>
        <w:p w14:paraId="6A60CB3B" w14:textId="77777777" w:rsidR="009059E3" w:rsidRPr="009059E3" w:rsidRDefault="009059E3" w:rsidP="009059E3">
          <w:pPr>
            <w:rPr>
              <w:rFonts w:cs="Arial"/>
            </w:rPr>
          </w:pPr>
          <w:r w:rsidRPr="009059E3">
            <w:rPr>
              <w:rFonts w:cs="Arial"/>
              <w:color w:val="666666"/>
              <w:sz w:val="19"/>
            </w:rPr>
            <w:t>Bo Kuno Christensen</w:t>
          </w:r>
        </w:p>
        <w:p w14:paraId="1E6176DE" w14:textId="77777777" w:rsidR="009059E3" w:rsidRPr="009059E3" w:rsidRDefault="009059E3" w:rsidP="009059E3">
          <w:pPr>
            <w:rPr>
              <w:rFonts w:cs="Arial"/>
            </w:rPr>
          </w:pPr>
          <w:r w:rsidRPr="009059E3">
            <w:rPr>
              <w:rFonts w:cs="Arial"/>
              <w:color w:val="666666"/>
              <w:sz w:val="19"/>
            </w:rPr>
            <w:t>55 36 24 68</w:t>
          </w:r>
        </w:p>
        <w:p w14:paraId="1C19F3B9" w14:textId="77777777" w:rsidR="006E2DE1" w:rsidRPr="009059E3" w:rsidRDefault="009059E3" w:rsidP="009059E3">
          <w:pPr>
            <w:spacing w:line="219" w:lineRule="atLeast"/>
          </w:pPr>
          <w:r w:rsidRPr="009059E3">
            <w:rPr>
              <w:rFonts w:cs="Arial"/>
              <w:color w:val="666666"/>
              <w:sz w:val="19"/>
            </w:rPr>
            <w:t>bkch@vordingborg.dk</w:t>
          </w:r>
        </w:p>
      </w:tc>
    </w:tr>
  </w:tbl>
  <w:tbl>
    <w:tblPr>
      <w:tblStyle w:val="Tabel-Gitter"/>
      <w:tblpPr w:vertAnchor="page" w:tblpY="25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12"/>
    </w:tblGrid>
    <w:tr w:rsidR="009C409E" w:rsidRPr="009059E3" w14:paraId="25172A52" w14:textId="77777777" w:rsidTr="009C409E">
      <w:tc>
        <w:tcPr>
          <w:tcW w:w="9552" w:type="dxa"/>
        </w:tcPr>
        <w:p w14:paraId="01B8AED1" w14:textId="77777777" w:rsidR="009C409E" w:rsidRPr="009059E3" w:rsidRDefault="009C409E" w:rsidP="009C409E">
          <w:pPr>
            <w:tabs>
              <w:tab w:val="left" w:pos="2756"/>
            </w:tabs>
            <w:rPr>
              <w:rFonts w:ascii="Verdana" w:hAnsi="Verdana"/>
              <w:b/>
              <w:color w:val="666666"/>
              <w:sz w:val="54"/>
              <w:szCs w:val="54"/>
            </w:rPr>
          </w:pPr>
          <w:r w:rsidRPr="009059E3">
            <w:rPr>
              <w:rFonts w:ascii="Verdana" w:hAnsi="Verdana"/>
              <w:b/>
              <w:color w:val="666666"/>
              <w:sz w:val="54"/>
              <w:szCs w:val="54"/>
            </w:rPr>
            <w:t>NOTAT</w:t>
          </w:r>
        </w:p>
      </w:tc>
    </w:tr>
  </w:tbl>
  <w:p w14:paraId="04BF4D95" w14:textId="77777777" w:rsidR="006E2DE1" w:rsidRPr="009059E3" w:rsidRDefault="009059E3" w:rsidP="009C409E">
    <w:r>
      <w:rPr>
        <w:noProof/>
      </w:rPr>
      <w:drawing>
        <wp:anchor distT="0" distB="0" distL="114300" distR="114300" simplePos="0" relativeHeight="251658240" behindDoc="1" locked="0" layoutInCell="1" allowOverlap="1" wp14:anchorId="580B134E" wp14:editId="3BF06B8E">
          <wp:simplePos x="0" y="0"/>
          <wp:positionH relativeFrom="page">
            <wp:posOffset>5075555</wp:posOffset>
          </wp:positionH>
          <wp:positionV relativeFrom="page">
            <wp:posOffset>647700</wp:posOffset>
          </wp:positionV>
          <wp:extent cx="1871980" cy="557530"/>
          <wp:effectExtent l="0" t="0" r="0" b="0"/>
          <wp:wrapNone/>
          <wp:docPr id="17" name="Billede 1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871980" cy="557530"/>
                  </a:xfrm>
                  <a:prstGeom prst="rect">
                    <a:avLst/>
                  </a:prstGeom>
                </pic:spPr>
              </pic:pic>
            </a:graphicData>
          </a:graphic>
        </wp:anchor>
      </w:drawing>
    </w:r>
  </w:p>
  <w:tbl>
    <w:tblPr>
      <w:tblpPr w:vertAnchor="page" w:horzAnchor="page" w:tblpX="1" w:tblpY="1"/>
      <w:tblOverlap w:val="never"/>
      <w:tblW w:w="22" w:type="dxa"/>
      <w:tblLayout w:type="fixed"/>
      <w:tblCellMar>
        <w:left w:w="70" w:type="dxa"/>
        <w:right w:w="70" w:type="dxa"/>
      </w:tblCellMar>
      <w:tblLook w:val="0000" w:firstRow="0" w:lastRow="0" w:firstColumn="0" w:lastColumn="0" w:noHBand="0" w:noVBand="0"/>
    </w:tblPr>
    <w:tblGrid>
      <w:gridCol w:w="160"/>
    </w:tblGrid>
    <w:tr w:rsidR="009059E3" w14:paraId="2F2FF4CF" w14:textId="77777777" w:rsidTr="009059E3">
      <w:trPr>
        <w:trHeight w:hRule="exact" w:val="23"/>
      </w:trPr>
      <w:tc>
        <w:tcPr>
          <w:tcW w:w="9412" w:type="dxa"/>
          <w:shd w:val="clear" w:color="auto" w:fill="auto"/>
        </w:tcPr>
        <w:p w14:paraId="3A1003AD" w14:textId="77777777" w:rsidR="009059E3" w:rsidRDefault="009059E3" w:rsidP="009059E3">
          <w:bookmarkStart w:id="2" w:name="Acadre15latemergedIDTextBox" w:colFirst="0" w:colLast="0"/>
          <w:r>
            <w:t>&lt;ArrayOfAcadreLatemergedField&gt;</w:t>
          </w:r>
        </w:p>
        <w:p w14:paraId="1369E6AE" w14:textId="77777777" w:rsidR="009059E3" w:rsidRDefault="009059E3" w:rsidP="009059E3">
          <w:r>
            <w:t xml:space="preserve">  &lt;AcadreLatemergedField&gt;</w:t>
          </w:r>
        </w:p>
        <w:p w14:paraId="60C36B17" w14:textId="77777777" w:rsidR="009059E3" w:rsidRDefault="009059E3" w:rsidP="009059E3">
          <w:r>
            <w:t xml:space="preserve">    &lt;Name&gt;DocumentAmountNumber&lt;/Name&gt;</w:t>
          </w:r>
        </w:p>
        <w:p w14:paraId="43F02EF1" w14:textId="77777777" w:rsidR="009059E3" w:rsidRDefault="009059E3" w:rsidP="009059E3">
          <w:r>
            <w:t xml:space="preserve">    &lt;Value&gt;AcadreDocumentAmountNumber&lt;/Value&gt;</w:t>
          </w:r>
        </w:p>
        <w:p w14:paraId="7045A85E" w14:textId="77777777" w:rsidR="009059E3" w:rsidRDefault="009059E3" w:rsidP="009059E3">
          <w:r>
            <w:t xml:space="preserve">  &lt;/AcadreLatemergedField&gt;</w:t>
          </w:r>
        </w:p>
        <w:p w14:paraId="3B590FAA" w14:textId="77777777" w:rsidR="009059E3" w:rsidRDefault="009059E3" w:rsidP="009059E3">
          <w:r>
            <w:t xml:space="preserve">  &lt;AcadreLatemergedField&gt;</w:t>
          </w:r>
        </w:p>
        <w:p w14:paraId="62BACDCA" w14:textId="77777777" w:rsidR="009059E3" w:rsidRDefault="009059E3" w:rsidP="009059E3">
          <w:r>
            <w:t xml:space="preserve">    &lt;Name&gt;DocumentUniqueNumber&lt;/Name&gt;</w:t>
          </w:r>
        </w:p>
        <w:p w14:paraId="3375A0D7" w14:textId="77777777" w:rsidR="009059E3" w:rsidRDefault="009059E3" w:rsidP="009059E3">
          <w:r>
            <w:t xml:space="preserve">    &lt;Value&gt;AcadreDocumentUniqueNumber&lt;/Value&gt;</w:t>
          </w:r>
        </w:p>
        <w:p w14:paraId="42A82582" w14:textId="77777777" w:rsidR="009059E3" w:rsidRDefault="009059E3" w:rsidP="009059E3">
          <w:r>
            <w:t xml:space="preserve">  &lt;/AcadreLatemergedField&gt;</w:t>
          </w:r>
        </w:p>
        <w:p w14:paraId="47B3B80E" w14:textId="77777777" w:rsidR="009059E3" w:rsidRDefault="009059E3" w:rsidP="009059E3">
          <w:r>
            <w:t xml:space="preserve">  &lt;AcadreLatemergedField&gt;</w:t>
          </w:r>
        </w:p>
        <w:p w14:paraId="54A8C408" w14:textId="77777777" w:rsidR="009059E3" w:rsidRDefault="009059E3" w:rsidP="009059E3">
          <w:r>
            <w:t xml:space="preserve">    &lt;Name&gt;DocumentNo&lt;/Name&gt;</w:t>
          </w:r>
        </w:p>
        <w:p w14:paraId="697543AA" w14:textId="77777777" w:rsidR="009059E3" w:rsidRDefault="009059E3" w:rsidP="009059E3">
          <w:r>
            <w:t xml:space="preserve">    &lt;Value&gt;AcadreDocumentNo&lt;/Value&gt;</w:t>
          </w:r>
        </w:p>
        <w:p w14:paraId="52B1CC04" w14:textId="77777777" w:rsidR="009059E3" w:rsidRDefault="009059E3" w:rsidP="009059E3">
          <w:r>
            <w:t xml:space="preserve">  &lt;/AcadreLatemergedField&gt;</w:t>
          </w:r>
        </w:p>
        <w:p w14:paraId="09EC8794" w14:textId="77777777" w:rsidR="009059E3" w:rsidRDefault="009059E3" w:rsidP="009059E3">
          <w:r>
            <w:t xml:space="preserve">  &lt;AcadreLatemergedField&gt;</w:t>
          </w:r>
        </w:p>
        <w:p w14:paraId="5219EF3D" w14:textId="77777777" w:rsidR="009059E3" w:rsidRDefault="009059E3" w:rsidP="009059E3">
          <w:r>
            <w:t xml:space="preserve">    &lt;Name&gt;DokumentNummer&lt;/Name&gt;</w:t>
          </w:r>
        </w:p>
        <w:p w14:paraId="47FBD306" w14:textId="77777777" w:rsidR="009059E3" w:rsidRDefault="009059E3" w:rsidP="009059E3">
          <w:r>
            <w:t xml:space="preserve">    &lt;Value&gt;AcadreDokumentNummer&lt;/Value&gt;</w:t>
          </w:r>
        </w:p>
        <w:p w14:paraId="22DB5B2F" w14:textId="77777777" w:rsidR="009059E3" w:rsidRDefault="009059E3" w:rsidP="009059E3">
          <w:r>
            <w:t xml:space="preserve">  &lt;/AcadreLatemergedField&gt;</w:t>
          </w:r>
        </w:p>
        <w:p w14:paraId="5445D0EC" w14:textId="77777777" w:rsidR="009059E3" w:rsidRDefault="009059E3" w:rsidP="009059E3">
          <w:r>
            <w:t xml:space="preserve">  &lt;AcadreLatemergedField&gt;</w:t>
          </w:r>
        </w:p>
        <w:p w14:paraId="156CC614" w14:textId="77777777" w:rsidR="009059E3" w:rsidRDefault="009059E3" w:rsidP="009059E3">
          <w:r>
            <w:t xml:space="preserve">    &lt;Name&gt;SupplementNumber&lt;/Name&gt;</w:t>
          </w:r>
        </w:p>
        <w:p w14:paraId="08F7A6AA" w14:textId="77777777" w:rsidR="009059E3" w:rsidRDefault="009059E3" w:rsidP="009059E3">
          <w:r>
            <w:t xml:space="preserve">    &lt;Value&gt;AcadreSupplementUniqueNumber&lt;/Value&gt;</w:t>
          </w:r>
        </w:p>
        <w:p w14:paraId="1FC1807B" w14:textId="77777777" w:rsidR="009059E3" w:rsidRDefault="009059E3" w:rsidP="009059E3">
          <w:r>
            <w:t xml:space="preserve">  &lt;/AcadreLatemergedField&gt;</w:t>
          </w:r>
        </w:p>
        <w:p w14:paraId="5D6AB56A" w14:textId="77777777" w:rsidR="009059E3" w:rsidRDefault="009059E3" w:rsidP="009059E3">
          <w:r>
            <w:t xml:space="preserve">  &lt;AcadreLatemergedField&gt;</w:t>
          </w:r>
        </w:p>
        <w:p w14:paraId="61BE8F54" w14:textId="77777777" w:rsidR="009059E3" w:rsidRDefault="009059E3" w:rsidP="009059E3">
          <w:r>
            <w:t xml:space="preserve">    &lt;Name&gt;DocumentUUID&lt;/Name&gt;</w:t>
          </w:r>
        </w:p>
        <w:p w14:paraId="668D71F7" w14:textId="77777777" w:rsidR="009059E3" w:rsidRDefault="009059E3" w:rsidP="009059E3">
          <w:r>
            <w:t xml:space="preserve">    &lt;Value&gt;AcadreDocumentNodeId&lt;/Value&gt;</w:t>
          </w:r>
        </w:p>
        <w:p w14:paraId="5B59F283" w14:textId="77777777" w:rsidR="009059E3" w:rsidRDefault="009059E3" w:rsidP="009059E3">
          <w:r>
            <w:t xml:space="preserve">  &lt;/AcadreLatemergedField&gt;</w:t>
          </w:r>
        </w:p>
        <w:p w14:paraId="24B96701" w14:textId="77777777" w:rsidR="009059E3" w:rsidRDefault="009059E3" w:rsidP="009059E3">
          <w:r>
            <w:t xml:space="preserve">  &lt;AcadreLatemergedField&gt;</w:t>
          </w:r>
        </w:p>
        <w:p w14:paraId="77B15BEA" w14:textId="77777777" w:rsidR="009059E3" w:rsidRDefault="009059E3" w:rsidP="009059E3">
          <w:r>
            <w:t xml:space="preserve">    &lt;Name&gt;CaseUUID&lt;/Name&gt;</w:t>
          </w:r>
        </w:p>
        <w:p w14:paraId="6A2015F1" w14:textId="77777777" w:rsidR="009059E3" w:rsidRDefault="009059E3" w:rsidP="009059E3">
          <w:r>
            <w:t xml:space="preserve">    &lt;Value&gt;AcadreCaseNodeId&lt;/Value&gt;</w:t>
          </w:r>
        </w:p>
        <w:p w14:paraId="6BF6BB27" w14:textId="77777777" w:rsidR="009059E3" w:rsidRDefault="009059E3" w:rsidP="009059E3">
          <w:r>
            <w:t xml:space="preserve">  &lt;/AcadreLatemergedField&gt;</w:t>
          </w:r>
        </w:p>
        <w:p w14:paraId="7376C9FD" w14:textId="77777777" w:rsidR="009059E3" w:rsidRDefault="009059E3" w:rsidP="009059E3">
          <w:r>
            <w:t>&lt;/ArrayOfAcadreLatemergedField&gt;</w:t>
          </w:r>
        </w:p>
      </w:tc>
    </w:tr>
    <w:bookmarkEnd w:id="2"/>
  </w:tbl>
  <w:p w14:paraId="5DCF7374" w14:textId="77777777" w:rsidR="009C409E" w:rsidRPr="009059E3" w:rsidRDefault="009C409E" w:rsidP="009C409E"/>
  <w:p w14:paraId="7A8D0334" w14:textId="77777777" w:rsidR="009C409E" w:rsidRPr="009059E3" w:rsidRDefault="009C409E" w:rsidP="009C409E"/>
  <w:p w14:paraId="0EC0C879" w14:textId="77777777" w:rsidR="009C409E" w:rsidRPr="009059E3" w:rsidRDefault="009C409E" w:rsidP="009C409E"/>
  <w:p w14:paraId="14D770B3" w14:textId="77777777" w:rsidR="009C409E" w:rsidRPr="009059E3" w:rsidRDefault="009C409E" w:rsidP="009C409E"/>
  <w:p w14:paraId="280B32FC" w14:textId="77777777" w:rsidR="009C409E" w:rsidRPr="009059E3" w:rsidRDefault="009C409E" w:rsidP="009C409E"/>
  <w:p w14:paraId="50AFAA9D" w14:textId="77777777" w:rsidR="009C409E" w:rsidRPr="009059E3" w:rsidRDefault="009C409E" w:rsidP="009C409E"/>
  <w:p w14:paraId="7E31244B" w14:textId="77777777" w:rsidR="009C409E" w:rsidRPr="009059E3" w:rsidRDefault="009C409E" w:rsidP="009C409E"/>
  <w:p w14:paraId="3E4A5A97" w14:textId="77777777" w:rsidR="009C409E" w:rsidRPr="009059E3" w:rsidRDefault="009C409E" w:rsidP="009C409E"/>
  <w:p w14:paraId="45822ABF" w14:textId="77777777" w:rsidR="009C409E" w:rsidRPr="009059E3" w:rsidRDefault="009C409E" w:rsidP="009C409E"/>
  <w:p w14:paraId="2DAEBDB3" w14:textId="77777777" w:rsidR="009C409E" w:rsidRPr="009059E3" w:rsidRDefault="009C409E" w:rsidP="009C409E"/>
  <w:p w14:paraId="23B04D7A" w14:textId="77777777" w:rsidR="009C409E" w:rsidRPr="009059E3" w:rsidRDefault="009C409E" w:rsidP="009C409E"/>
  <w:p w14:paraId="3D9905CE" w14:textId="77777777" w:rsidR="009C409E" w:rsidRPr="009059E3" w:rsidRDefault="009C409E" w:rsidP="009C409E"/>
  <w:p w14:paraId="32808A6D" w14:textId="77777777" w:rsidR="009C409E" w:rsidRPr="009059E3" w:rsidRDefault="009C409E" w:rsidP="009C4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A59"/>
    <w:multiLevelType w:val="hybridMultilevel"/>
    <w:tmpl w:val="FB942624"/>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810D6C"/>
    <w:multiLevelType w:val="hybridMultilevel"/>
    <w:tmpl w:val="699B6D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9B2957"/>
    <w:multiLevelType w:val="hybridMultilevel"/>
    <w:tmpl w:val="42BA67DC"/>
    <w:lvl w:ilvl="0" w:tplc="864215E8">
      <w:start w:val="1"/>
      <w:numFmt w:val="decimal"/>
      <w:lvlText w:val="%1."/>
      <w:lvlJc w:val="left"/>
      <w:pPr>
        <w:ind w:left="780" w:hanging="360"/>
      </w:pPr>
    </w:lvl>
    <w:lvl w:ilvl="1" w:tplc="B80E5EFE" w:tentative="1">
      <w:start w:val="1"/>
      <w:numFmt w:val="lowerLetter"/>
      <w:lvlText w:val="%2."/>
      <w:lvlJc w:val="left"/>
      <w:pPr>
        <w:ind w:left="1500" w:hanging="360"/>
      </w:pPr>
    </w:lvl>
    <w:lvl w:ilvl="2" w:tplc="C8C85362" w:tentative="1">
      <w:start w:val="1"/>
      <w:numFmt w:val="lowerRoman"/>
      <w:lvlText w:val="%3."/>
      <w:lvlJc w:val="right"/>
      <w:pPr>
        <w:ind w:left="2220" w:hanging="180"/>
      </w:pPr>
    </w:lvl>
    <w:lvl w:ilvl="3" w:tplc="4538EFA8" w:tentative="1">
      <w:start w:val="1"/>
      <w:numFmt w:val="decimal"/>
      <w:lvlText w:val="%4."/>
      <w:lvlJc w:val="left"/>
      <w:pPr>
        <w:ind w:left="2940" w:hanging="360"/>
      </w:pPr>
    </w:lvl>
    <w:lvl w:ilvl="4" w:tplc="812E287C" w:tentative="1">
      <w:start w:val="1"/>
      <w:numFmt w:val="lowerLetter"/>
      <w:lvlText w:val="%5."/>
      <w:lvlJc w:val="left"/>
      <w:pPr>
        <w:ind w:left="3660" w:hanging="360"/>
      </w:pPr>
    </w:lvl>
    <w:lvl w:ilvl="5" w:tplc="A816C3BA" w:tentative="1">
      <w:start w:val="1"/>
      <w:numFmt w:val="lowerRoman"/>
      <w:lvlText w:val="%6."/>
      <w:lvlJc w:val="right"/>
      <w:pPr>
        <w:ind w:left="4380" w:hanging="180"/>
      </w:pPr>
    </w:lvl>
    <w:lvl w:ilvl="6" w:tplc="334442C0" w:tentative="1">
      <w:start w:val="1"/>
      <w:numFmt w:val="decimal"/>
      <w:lvlText w:val="%7."/>
      <w:lvlJc w:val="left"/>
      <w:pPr>
        <w:ind w:left="5100" w:hanging="360"/>
      </w:pPr>
    </w:lvl>
    <w:lvl w:ilvl="7" w:tplc="4148D092" w:tentative="1">
      <w:start w:val="1"/>
      <w:numFmt w:val="lowerLetter"/>
      <w:lvlText w:val="%8."/>
      <w:lvlJc w:val="left"/>
      <w:pPr>
        <w:ind w:left="5820" w:hanging="360"/>
      </w:pPr>
    </w:lvl>
    <w:lvl w:ilvl="8" w:tplc="FB6C115A" w:tentative="1">
      <w:start w:val="1"/>
      <w:numFmt w:val="lowerRoman"/>
      <w:lvlText w:val="%9."/>
      <w:lvlJc w:val="right"/>
      <w:pPr>
        <w:ind w:left="6540" w:hanging="180"/>
      </w:pPr>
    </w:lvl>
  </w:abstractNum>
  <w:abstractNum w:abstractNumId="3" w15:restartNumberingAfterBreak="0">
    <w:nsid w:val="78E70928"/>
    <w:multiLevelType w:val="hybridMultilevel"/>
    <w:tmpl w:val="A3D0EE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C593CF1"/>
    <w:multiLevelType w:val="hybridMultilevel"/>
    <w:tmpl w:val="3374535E"/>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6.036"/>
    <w:docVar w:name="DocumentCreated" w:val="DocumentCreated"/>
    <w:docVar w:name="DocumentCreatedOK" w:val="DocumentCreatedOK"/>
    <w:docVar w:name="DocumentInitialized" w:val="OK"/>
    <w:docVar w:name="Encrypted_AcadreDataCaseNumber" w:val="WESxSLGJf1nq+I1zHnpqaQ=="/>
    <w:docVar w:name="Encrypted_AcadreDataCaseResponsibleUserId" w:val="YvYx/+UwPYz+j3GBO/UCCg=="/>
    <w:docVar w:name="Encrypted_AcadreDataCaseResponsibleUserInitials" w:val="bD9x402INOKhxxG7jVtigg=="/>
    <w:docVar w:name="Encrypted_AcadreDataCaseResponsibleUserName" w:val="UQGHvfmzJzoEj/k4lWgsiqhlHmv55e8sg/Gr3hkqFMU="/>
    <w:docVar w:name="Encrypted_AcadreDataCaseTitle" w:val="fifzqJcc7pU6EfMJqCrTQM7GnSCTto1s16k/6O3wkkc="/>
    <w:docVar w:name="Encrypted_AcadreDataCaseUUID" w:val="1eb+J0ydqp7jn2T9BOUsgbtNW+QsC11LBj5Nc+ZlKic+/VdNM27cjKmaEwQC4bVX"/>
    <w:docVar w:name="Encrypted_AcadreDataDocumentCategory" w:val="GreMBKIiKuph6B+EBkLGMg=="/>
    <w:docVar w:name="Encrypted_AcadreDataDocumentCategoryLiteral" w:val="y4k1AMuyZuxoH7c1F3ZJvw=="/>
    <w:docVar w:name="Encrypted_AcadreDataDocumentDate" w:val="6RxJhwURs0DlZEg4+J9/iA=="/>
    <w:docVar w:name="Encrypted_AcadreDataDocumentDescription" w:val="Q0XWo4GJBJiTS2GAZn+orA=="/>
    <w:docVar w:name="Encrypted_AcadreDataDocumentEvenOutInt" w:val="hkzhiUmdnR0gYA/I+vu4OA=="/>
    <w:docVar w:name="Encrypted_AcadreDataDocumentPublicAccessLevel" w:val="8hUoEbnpCgaFtnyuO4UFjg=="/>
    <w:docVar w:name="Encrypted_AcadreDataDocumentPublicAccessLevelId" w:val="5IyuGv8h/nxtcU4T/wGp0A=="/>
    <w:docVar w:name="Encrypted_AcadreDataDocumentResponsibleUserId" w:val="YvYx/+UwPYz+j3GBO/UCCg=="/>
    <w:docVar w:name="Encrypted_AcadreDataDocumentResponsibleUserInitials" w:val="bD9x402INOKhxxG7jVtigg=="/>
    <w:docVar w:name="Encrypted_AcadreDataDocumentResponsibleUserName" w:val="UQGHvfmzJzoEj/k4lWgsiqhlHmv55e8sg/Gr3hkqFMU="/>
    <w:docVar w:name="Encrypted_AcadreDataDocumentStatus" w:val="XT/KhmHFHH2Zx5RCqkbBaA=="/>
    <w:docVar w:name="Encrypted_AcadreDataDocumentStatusLiteral" w:val="NIVIwarKPk129xeXoJ87kg=="/>
    <w:docVar w:name="Encrypted_AcadreDataDocumentTitle" w:val="wWogAwzAYB/U4w9NpmhaAkbsnJXbDFZZEOwyVDNpBmWr+k8gPFSp/CeJWucH3JpU"/>
    <w:docVar w:name="Encrypted_AcadreDataDocumentType" w:val="/3T87mn8PW4Mciz5g4YcGw=="/>
    <w:docVar w:name="Encrypted_AcadreDataDocumentTypeLiteral" w:val="3cCIr9AKkGckzvaSoErv+g=="/>
    <w:docVar w:name="Encrypted_AcadreDataOrganisationUnit" w:val="7ss+mzCphL5DpQgEu5mG2lL7sa5yXf9i7hVYnA2OEy8="/>
    <w:docVar w:name="Encrypted_AcadreDataUserId" w:val="YvYx/+UwPYz+j3GBO/UCCg=="/>
    <w:docVar w:name="Encrypted_AcadreDataUserInitials" w:val="bD9x402INOKhxxG7jVtigg=="/>
    <w:docVar w:name="Encrypted_AcadreDataUserName" w:val="UQGHvfmzJzoEj/k4lWgsiqhlHmv55e8sg/Gr3hkqFMU="/>
    <w:docVar w:name="Encrypted_AcadreDocumentToMultipleRecipients" w:val="Go1BF8BBsJqqGsR1izlsvQ=="/>
    <w:docVar w:name="Encrypted_DocCaseNo" w:val="WESxSLGJf1nq+I1zHnpqaQ=="/>
    <w:docVar w:name="Encrypted_DocFESDCaseID" w:val="RR/+igcox/YHMNCPOtO2F07Nk01IEEuZVEP8KRrH/lg="/>
    <w:docVar w:name="Encrypted_DocFESDDocID" w:val="j2gxGRa8x5e7UIUKeXyCDusIwPb1wjrOE9QyyDel1qg="/>
    <w:docVar w:name="Encrypted_DocHeader" w:val="wWogAwzAYB/U4w9NpmhaAkbsnJXbDFZZEOwyVDNpBmWr+k8gPFSp/CeJWucH3JpU"/>
    <w:docVar w:name="IntegrationType" w:val="AcadreCM"/>
    <w:docVar w:name="SaveInTemplateCenterEnabled" w:val="False"/>
  </w:docVars>
  <w:rsids>
    <w:rsidRoot w:val="009059E3"/>
    <w:rsid w:val="00005208"/>
    <w:rsid w:val="00007C1E"/>
    <w:rsid w:val="00015023"/>
    <w:rsid w:val="000151B3"/>
    <w:rsid w:val="00015E01"/>
    <w:rsid w:val="00034603"/>
    <w:rsid w:val="000D1E8D"/>
    <w:rsid w:val="000E5BC4"/>
    <w:rsid w:val="000F4F8F"/>
    <w:rsid w:val="0011244E"/>
    <w:rsid w:val="00121699"/>
    <w:rsid w:val="00131C54"/>
    <w:rsid w:val="001567B0"/>
    <w:rsid w:val="001D2A22"/>
    <w:rsid w:val="00203B57"/>
    <w:rsid w:val="00203E74"/>
    <w:rsid w:val="00215F9E"/>
    <w:rsid w:val="0021683A"/>
    <w:rsid w:val="00232089"/>
    <w:rsid w:val="00255421"/>
    <w:rsid w:val="00264690"/>
    <w:rsid w:val="00280A46"/>
    <w:rsid w:val="00285032"/>
    <w:rsid w:val="00290F2F"/>
    <w:rsid w:val="00291762"/>
    <w:rsid w:val="002A088E"/>
    <w:rsid w:val="002A0979"/>
    <w:rsid w:val="002A22E1"/>
    <w:rsid w:val="002C09B5"/>
    <w:rsid w:val="002C76AB"/>
    <w:rsid w:val="002E2DBF"/>
    <w:rsid w:val="002E7319"/>
    <w:rsid w:val="002F1FD0"/>
    <w:rsid w:val="00301AA0"/>
    <w:rsid w:val="00330245"/>
    <w:rsid w:val="003A2D56"/>
    <w:rsid w:val="003C29FD"/>
    <w:rsid w:val="003F54D6"/>
    <w:rsid w:val="00420E54"/>
    <w:rsid w:val="00423D58"/>
    <w:rsid w:val="00425603"/>
    <w:rsid w:val="00436FBE"/>
    <w:rsid w:val="004411BE"/>
    <w:rsid w:val="00457939"/>
    <w:rsid w:val="00473482"/>
    <w:rsid w:val="004938BC"/>
    <w:rsid w:val="004B6562"/>
    <w:rsid w:val="0050685A"/>
    <w:rsid w:val="00566A9D"/>
    <w:rsid w:val="005A6871"/>
    <w:rsid w:val="005B7670"/>
    <w:rsid w:val="005C2D08"/>
    <w:rsid w:val="005C416A"/>
    <w:rsid w:val="005C4ADF"/>
    <w:rsid w:val="005F5D2B"/>
    <w:rsid w:val="006075F1"/>
    <w:rsid w:val="00623D9B"/>
    <w:rsid w:val="006268F5"/>
    <w:rsid w:val="00660956"/>
    <w:rsid w:val="00660D4E"/>
    <w:rsid w:val="006B66FF"/>
    <w:rsid w:val="006E0D82"/>
    <w:rsid w:val="006E2DE1"/>
    <w:rsid w:val="006F5119"/>
    <w:rsid w:val="007003E7"/>
    <w:rsid w:val="00721680"/>
    <w:rsid w:val="00722867"/>
    <w:rsid w:val="007558AD"/>
    <w:rsid w:val="00764C19"/>
    <w:rsid w:val="007B0E06"/>
    <w:rsid w:val="007B45A2"/>
    <w:rsid w:val="007C53AC"/>
    <w:rsid w:val="007D1E43"/>
    <w:rsid w:val="007D53F9"/>
    <w:rsid w:val="007E7C57"/>
    <w:rsid w:val="007F1054"/>
    <w:rsid w:val="008419CF"/>
    <w:rsid w:val="008677D0"/>
    <w:rsid w:val="00882664"/>
    <w:rsid w:val="00882691"/>
    <w:rsid w:val="00883F6D"/>
    <w:rsid w:val="008A405F"/>
    <w:rsid w:val="008B2078"/>
    <w:rsid w:val="00904149"/>
    <w:rsid w:val="009059E3"/>
    <w:rsid w:val="00907E4E"/>
    <w:rsid w:val="00956B03"/>
    <w:rsid w:val="009577EE"/>
    <w:rsid w:val="00962450"/>
    <w:rsid w:val="00967524"/>
    <w:rsid w:val="00991E91"/>
    <w:rsid w:val="009C409E"/>
    <w:rsid w:val="009E4B24"/>
    <w:rsid w:val="009E5483"/>
    <w:rsid w:val="00A25A5A"/>
    <w:rsid w:val="00A44493"/>
    <w:rsid w:val="00A60E4E"/>
    <w:rsid w:val="00A61F1E"/>
    <w:rsid w:val="00A6590F"/>
    <w:rsid w:val="00AC6858"/>
    <w:rsid w:val="00AF7C61"/>
    <w:rsid w:val="00B42D94"/>
    <w:rsid w:val="00B76CE8"/>
    <w:rsid w:val="00B97CAD"/>
    <w:rsid w:val="00BB3686"/>
    <w:rsid w:val="00BC4C26"/>
    <w:rsid w:val="00BE117F"/>
    <w:rsid w:val="00BF31CE"/>
    <w:rsid w:val="00C229B1"/>
    <w:rsid w:val="00C44F3C"/>
    <w:rsid w:val="00C616FC"/>
    <w:rsid w:val="00C67128"/>
    <w:rsid w:val="00C72789"/>
    <w:rsid w:val="00CA29D2"/>
    <w:rsid w:val="00CA6C01"/>
    <w:rsid w:val="00CD386E"/>
    <w:rsid w:val="00CF0523"/>
    <w:rsid w:val="00D43FAE"/>
    <w:rsid w:val="00D85C60"/>
    <w:rsid w:val="00DE5B21"/>
    <w:rsid w:val="00E54C7F"/>
    <w:rsid w:val="00E63129"/>
    <w:rsid w:val="00E90C24"/>
    <w:rsid w:val="00EB4FDD"/>
    <w:rsid w:val="00F001F4"/>
    <w:rsid w:val="00F266AB"/>
    <w:rsid w:val="00F306DE"/>
    <w:rsid w:val="00F359B0"/>
    <w:rsid w:val="00F626E8"/>
    <w:rsid w:val="00F67B36"/>
    <w:rsid w:val="00F97592"/>
    <w:rsid w:val="00FA6289"/>
    <w:rsid w:val="00FC2A4B"/>
    <w:rsid w:val="00FC3422"/>
    <w:rsid w:val="00FD0046"/>
    <w:rsid w:val="00FF7C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1D9C67"/>
  <w15:docId w15:val="{81C74559-2B9D-4592-839A-F1D1D50F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E91"/>
    <w:pPr>
      <w:spacing w:line="253" w:lineRule="atLeast"/>
    </w:pPr>
    <w:rPr>
      <w:rFonts w:ascii="Arial" w:hAnsi="Arial"/>
      <w:sz w:val="22"/>
      <w:szCs w:val="24"/>
    </w:rPr>
  </w:style>
  <w:style w:type="paragraph" w:styleId="Overskrift1">
    <w:name w:val="heading 1"/>
    <w:basedOn w:val="Normal"/>
    <w:next w:val="Normal"/>
    <w:link w:val="Overskrift1Tegn"/>
    <w:qFormat/>
    <w:rsid w:val="00232089"/>
    <w:pPr>
      <w:keepNext/>
      <w:keepLines/>
      <w:spacing w:line="276" w:lineRule="auto"/>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CA29D2"/>
    <w:rPr>
      <w:color w:val="0000FF"/>
      <w:u w:val="single"/>
    </w:rPr>
  </w:style>
  <w:style w:type="paragraph" w:styleId="Sidehoved">
    <w:name w:val="header"/>
    <w:basedOn w:val="Normal"/>
    <w:rsid w:val="00CA29D2"/>
    <w:pPr>
      <w:tabs>
        <w:tab w:val="center" w:pos="4819"/>
        <w:tab w:val="right" w:pos="9638"/>
      </w:tabs>
    </w:pPr>
  </w:style>
  <w:style w:type="paragraph" w:styleId="Sidefod">
    <w:name w:val="footer"/>
    <w:basedOn w:val="Normal"/>
    <w:rsid w:val="00264690"/>
    <w:pPr>
      <w:tabs>
        <w:tab w:val="center" w:pos="4819"/>
        <w:tab w:val="right" w:pos="9638"/>
      </w:tabs>
    </w:pPr>
  </w:style>
  <w:style w:type="paragraph" w:styleId="Markeringsbobletekst">
    <w:name w:val="Balloon Text"/>
    <w:basedOn w:val="Normal"/>
    <w:link w:val="MarkeringsbobletekstTegn"/>
    <w:rsid w:val="00290F2F"/>
    <w:rPr>
      <w:rFonts w:ascii="Tahoma" w:hAnsi="Tahoma" w:cs="Tahoma"/>
      <w:sz w:val="16"/>
      <w:szCs w:val="16"/>
    </w:rPr>
  </w:style>
  <w:style w:type="character" w:customStyle="1" w:styleId="MarkeringsbobletekstTegn">
    <w:name w:val="Markeringsbobletekst Tegn"/>
    <w:basedOn w:val="Standardskrifttypeiafsnit"/>
    <w:link w:val="Markeringsbobletekst"/>
    <w:rsid w:val="00290F2F"/>
    <w:rPr>
      <w:rFonts w:ascii="Tahoma" w:hAnsi="Tahoma" w:cs="Tahoma"/>
      <w:sz w:val="16"/>
      <w:szCs w:val="16"/>
    </w:rPr>
  </w:style>
  <w:style w:type="table" w:styleId="Tabel-Gitter">
    <w:name w:val="Table Grid"/>
    <w:basedOn w:val="Tabel-Normal"/>
    <w:uiPriority w:val="39"/>
    <w:rsid w:val="00A6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
    <w:name w:val="Kolofon"/>
    <w:basedOn w:val="Normal"/>
    <w:rsid w:val="00B42D94"/>
    <w:pPr>
      <w:framePr w:hSpace="142" w:wrap="around" w:vAnchor="page" w:hAnchor="page" w:x="8903" w:y="2553"/>
      <w:spacing w:line="260" w:lineRule="atLeast"/>
      <w:suppressOverlap/>
    </w:pPr>
    <w:rPr>
      <w:rFonts w:eastAsia="Calibri" w:cs="Arial"/>
      <w:sz w:val="18"/>
      <w:szCs w:val="22"/>
      <w:lang w:eastAsia="en-US"/>
    </w:rPr>
  </w:style>
  <w:style w:type="paragraph" w:customStyle="1" w:styleId="KolofonDato">
    <w:name w:val="KolofonDato"/>
    <w:basedOn w:val="Normal"/>
    <w:rsid w:val="00991E91"/>
    <w:pPr>
      <w:framePr w:hSpace="567" w:wrap="auto" w:hAnchor="text" w:x="8846" w:y="4254"/>
      <w:spacing w:line="219" w:lineRule="atLeast"/>
    </w:pPr>
    <w:rPr>
      <w:b/>
      <w:sz w:val="19"/>
      <w:lang w:val="nb-NO"/>
    </w:rPr>
  </w:style>
  <w:style w:type="paragraph" w:customStyle="1" w:styleId="KolofonText">
    <w:name w:val="KolofonText"/>
    <w:basedOn w:val="Normal"/>
    <w:rsid w:val="00991E91"/>
    <w:pPr>
      <w:spacing w:line="219" w:lineRule="atLeast"/>
    </w:pPr>
    <w:rPr>
      <w:color w:val="666666"/>
      <w:sz w:val="19"/>
    </w:rPr>
  </w:style>
  <w:style w:type="paragraph" w:customStyle="1" w:styleId="KolofonPrefix">
    <w:name w:val="KolofonPrefix"/>
    <w:basedOn w:val="KolofonText"/>
    <w:rsid w:val="00660D4E"/>
    <w:rPr>
      <w:b/>
    </w:rPr>
  </w:style>
  <w:style w:type="character" w:customStyle="1" w:styleId="Overskrift1Tegn">
    <w:name w:val="Overskrift 1 Tegn"/>
    <w:basedOn w:val="Standardskrifttypeiafsnit"/>
    <w:link w:val="Overskrift1"/>
    <w:rsid w:val="00232089"/>
    <w:rPr>
      <w:rFonts w:ascii="Arial" w:eastAsiaTheme="majorEastAsia" w:hAnsi="Arial" w:cstheme="majorBidi"/>
      <w:b/>
      <w:bCs/>
      <w:sz w:val="22"/>
      <w:szCs w:val="28"/>
    </w:rPr>
  </w:style>
  <w:style w:type="paragraph" w:styleId="Listeafsnit">
    <w:name w:val="List Paragraph"/>
    <w:basedOn w:val="Normal"/>
    <w:uiPriority w:val="34"/>
    <w:qFormat/>
    <w:rsid w:val="00FF7C74"/>
    <w:pPr>
      <w:ind w:left="720"/>
      <w:contextualSpacing/>
    </w:pPr>
  </w:style>
  <w:style w:type="paragraph" w:customStyle="1" w:styleId="Default">
    <w:name w:val="Default"/>
    <w:rsid w:val="00BB3686"/>
    <w:pPr>
      <w:autoSpaceDE w:val="0"/>
      <w:autoSpaceDN w:val="0"/>
      <w:adjustRightInd w:val="0"/>
    </w:pPr>
    <w:rPr>
      <w:rFonts w:ascii="Arial" w:hAnsi="Arial" w:cs="Arial"/>
      <w:color w:val="000000"/>
      <w:sz w:val="24"/>
      <w:szCs w:val="24"/>
    </w:rPr>
  </w:style>
  <w:style w:type="paragraph" w:styleId="Fodnotetekst">
    <w:name w:val="footnote text"/>
    <w:basedOn w:val="Normal"/>
    <w:link w:val="FodnotetekstTegn"/>
    <w:uiPriority w:val="99"/>
    <w:semiHidden/>
    <w:unhideWhenUsed/>
    <w:rsid w:val="002E2DBF"/>
    <w:pPr>
      <w:widowControl w:val="0"/>
      <w:snapToGrid w:val="0"/>
      <w:spacing w:line="240" w:lineRule="auto"/>
    </w:pPr>
    <w:rPr>
      <w:sz w:val="20"/>
      <w:szCs w:val="20"/>
    </w:rPr>
  </w:style>
  <w:style w:type="character" w:customStyle="1" w:styleId="FodnotetekstTegn">
    <w:name w:val="Fodnotetekst Tegn"/>
    <w:basedOn w:val="Standardskrifttypeiafsnit"/>
    <w:link w:val="Fodnotetekst"/>
    <w:uiPriority w:val="99"/>
    <w:semiHidden/>
    <w:rsid w:val="002E2DBF"/>
    <w:rPr>
      <w:rFonts w:ascii="Arial" w:hAnsi="Arial"/>
    </w:rPr>
  </w:style>
  <w:style w:type="character" w:styleId="Fodnotehenvisning">
    <w:name w:val="footnote reference"/>
    <w:basedOn w:val="Standardskrifttypeiafsnit"/>
    <w:uiPriority w:val="99"/>
    <w:semiHidden/>
    <w:unhideWhenUsed/>
    <w:rsid w:val="002E2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74136">
      <w:bodyDiv w:val="1"/>
      <w:marLeft w:val="0"/>
      <w:marRight w:val="0"/>
      <w:marTop w:val="0"/>
      <w:marBottom w:val="0"/>
      <w:divBdr>
        <w:top w:val="none" w:sz="0" w:space="0" w:color="auto"/>
        <w:left w:val="none" w:sz="0" w:space="0" w:color="auto"/>
        <w:bottom w:val="none" w:sz="0" w:space="0" w:color="auto"/>
        <w:right w:val="none" w:sz="0" w:space="0" w:color="auto"/>
      </w:divBdr>
    </w:div>
    <w:div w:id="18828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p6F1qu_-4fo&amp;t=2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1964</Words>
  <Characters>10471</Characters>
  <Application>Microsoft Office Word</Application>
  <DocSecurity>0</DocSecurity>
  <Lines>274</Lines>
  <Paragraphs>100</Paragraphs>
  <ScaleCrop>false</ScaleCrop>
  <HeadingPairs>
    <vt:vector size="2" baseType="variant">
      <vt:variant>
        <vt:lpstr>Titel</vt:lpstr>
      </vt:variant>
      <vt:variant>
        <vt:i4>1</vt:i4>
      </vt:variant>
    </vt:vector>
  </HeadingPairs>
  <TitlesOfParts>
    <vt:vector size="1" baseType="lpstr">
      <vt:lpstr>Bilag 1 - Forklaringer af økonomi</vt:lpstr>
    </vt:vector>
  </TitlesOfParts>
  <Company>Vordingborg Kommune</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1 - Forklaringer af økonomi</dc:title>
  <dc:creator>Bo Kuno Christensen</dc:creator>
  <cp:lastModifiedBy>Bo Kuno Christensen</cp:lastModifiedBy>
  <cp:revision>3</cp:revision>
  <dcterms:created xsi:type="dcterms:W3CDTF">2021-05-07T07:45:00Z</dcterms:created>
  <dcterms:modified xsi:type="dcterms:W3CDTF">2021-05-07T07:54:00Z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{977B08C0-B3CA-4404-8B68-86A788B8E7C4}</vt:lpwstr>
  </property>
</Properties>
</file>