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28"/>
      </w:tblGrid>
      <w:tr w:rsidR="00A63998" w:rsidTr="00E24486">
        <w:tc>
          <w:tcPr>
            <w:tcW w:w="9778" w:type="dxa"/>
          </w:tcPr>
          <w:p w:rsidR="00A63998" w:rsidRPr="00CF0A2E" w:rsidRDefault="00A63998" w:rsidP="00A63998">
            <w:pPr>
              <w:pStyle w:val="DNKNormal"/>
              <w:rPr>
                <w:rFonts w:ascii="Calibri" w:hAnsi="Calibri"/>
                <w:b/>
                <w:sz w:val="28"/>
                <w:szCs w:val="28"/>
              </w:rPr>
            </w:pPr>
            <w:r w:rsidRPr="00CF0A2E">
              <w:rPr>
                <w:rFonts w:ascii="Calibri" w:hAnsi="Calibri"/>
                <w:b/>
                <w:sz w:val="28"/>
                <w:szCs w:val="28"/>
              </w:rPr>
              <w:t xml:space="preserve">Pleje, Omsorg og Værdighedspolitik  </w:t>
            </w:r>
          </w:p>
        </w:tc>
      </w:tr>
    </w:tbl>
    <w:p w:rsidR="00A63998" w:rsidRDefault="00A63998" w:rsidP="00A63998"/>
    <w:tbl>
      <w:tblPr>
        <w:tblStyle w:val="Tabel-Git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87"/>
        <w:gridCol w:w="7741"/>
      </w:tblGrid>
      <w:tr w:rsidR="00A63998" w:rsidTr="00E24486">
        <w:tc>
          <w:tcPr>
            <w:tcW w:w="1908" w:type="dxa"/>
          </w:tcPr>
          <w:p w:rsidR="00A63998" w:rsidRPr="00C15CC7" w:rsidRDefault="00A63998" w:rsidP="00E2448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C15CC7">
              <w:rPr>
                <w:rFonts w:asciiTheme="minorHAnsi" w:hAnsiTheme="minorHAnsi"/>
                <w:b/>
                <w:sz w:val="28"/>
                <w:szCs w:val="28"/>
              </w:rPr>
              <w:t>Vision</w:t>
            </w:r>
          </w:p>
        </w:tc>
        <w:tc>
          <w:tcPr>
            <w:tcW w:w="7870" w:type="dxa"/>
          </w:tcPr>
          <w:p w:rsidR="00A63998" w:rsidRPr="00C8072E" w:rsidRDefault="00A63998" w:rsidP="00A6399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63998" w:rsidTr="00E24486">
        <w:tc>
          <w:tcPr>
            <w:tcW w:w="1908" w:type="dxa"/>
          </w:tcPr>
          <w:p w:rsidR="00A63998" w:rsidRPr="00C15CC7" w:rsidRDefault="00A63998" w:rsidP="00E2448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7870" w:type="dxa"/>
          </w:tcPr>
          <w:p w:rsidR="00A63998" w:rsidRPr="00C15CC7" w:rsidRDefault="005A6060" w:rsidP="00CF0A2E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Vordingborg </w:t>
            </w:r>
            <w:proofErr w:type="spellStart"/>
            <w:r>
              <w:rPr>
                <w:rFonts w:asciiTheme="minorHAnsi" w:hAnsiTheme="minorHAnsi"/>
                <w:i/>
              </w:rPr>
              <w:t>Kommune`s</w:t>
            </w:r>
            <w:proofErr w:type="spellEnd"/>
            <w:r>
              <w:rPr>
                <w:rFonts w:asciiTheme="minorHAnsi" w:hAnsiTheme="minorHAnsi"/>
                <w:i/>
              </w:rPr>
              <w:t xml:space="preserve"> pleje og omsorgsområde</w:t>
            </w:r>
            <w:r w:rsidR="00A63998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summer af aktivitet så den</w:t>
            </w:r>
            <w:r w:rsidR="00A63998">
              <w:rPr>
                <w:rFonts w:asciiTheme="minorHAnsi" w:hAnsiTheme="minorHAnsi"/>
                <w:i/>
              </w:rPr>
              <w:t xml:space="preserve"> aldrende borger har mulighed for at le</w:t>
            </w:r>
            <w:r w:rsidR="00293786">
              <w:rPr>
                <w:rFonts w:asciiTheme="minorHAnsi" w:hAnsiTheme="minorHAnsi"/>
                <w:i/>
              </w:rPr>
              <w:t>ve en sund, tryg og aktiv</w:t>
            </w:r>
            <w:r w:rsidR="00A63998">
              <w:rPr>
                <w:rFonts w:asciiTheme="minorHAnsi" w:hAnsiTheme="minorHAnsi"/>
                <w:i/>
              </w:rPr>
              <w:t xml:space="preserve"> tilværelse</w:t>
            </w:r>
            <w:r>
              <w:rPr>
                <w:rFonts w:asciiTheme="minorHAnsi" w:hAnsiTheme="minorHAnsi"/>
                <w:i/>
              </w:rPr>
              <w:t>. Et liv</w:t>
            </w:r>
            <w:r w:rsidR="00A63998">
              <w:rPr>
                <w:rFonts w:asciiTheme="minorHAnsi" w:hAnsiTheme="minorHAnsi"/>
                <w:i/>
              </w:rPr>
              <w:t xml:space="preserve"> der danner et godt fundament for færrest mulige begræ</w:t>
            </w:r>
            <w:r w:rsidR="008F5FDC">
              <w:rPr>
                <w:rFonts w:asciiTheme="minorHAnsi" w:hAnsiTheme="minorHAnsi"/>
                <w:i/>
              </w:rPr>
              <w:t>nsninger og derved størst mulig</w:t>
            </w:r>
            <w:r w:rsidR="00A63998">
              <w:rPr>
                <w:rFonts w:asciiTheme="minorHAnsi" w:hAnsiTheme="minorHAnsi"/>
                <w:i/>
              </w:rPr>
              <w:t xml:space="preserve"> frihed</w:t>
            </w:r>
            <w:r w:rsidR="008F5FDC">
              <w:rPr>
                <w:rFonts w:asciiTheme="minorHAnsi" w:hAnsiTheme="minorHAnsi"/>
                <w:i/>
              </w:rPr>
              <w:t xml:space="preserve"> og værdighed</w:t>
            </w:r>
            <w:r w:rsidR="00A63998">
              <w:rPr>
                <w:rFonts w:asciiTheme="minorHAnsi" w:hAnsiTheme="minorHAnsi"/>
                <w:i/>
              </w:rPr>
              <w:t>.</w:t>
            </w:r>
          </w:p>
        </w:tc>
      </w:tr>
    </w:tbl>
    <w:p w:rsidR="00A63998" w:rsidRDefault="00A63998" w:rsidP="00A63998">
      <w:pPr>
        <w:rPr>
          <w:rFonts w:ascii="Verdana" w:hAnsi="Verdana"/>
          <w:sz w:val="22"/>
          <w:szCs w:val="22"/>
        </w:rPr>
      </w:pPr>
    </w:p>
    <w:tbl>
      <w:tblPr>
        <w:tblStyle w:val="Tabel-Git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A63998" w:rsidRPr="00C15CC7" w:rsidTr="00E24486">
        <w:tc>
          <w:tcPr>
            <w:tcW w:w="1908" w:type="dxa"/>
          </w:tcPr>
          <w:p w:rsidR="00A63998" w:rsidRPr="00C15CC7" w:rsidRDefault="00A63998" w:rsidP="00E24486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C15CC7">
              <w:rPr>
                <w:rFonts w:ascii="Calibri" w:hAnsi="Calibri"/>
                <w:b/>
                <w:sz w:val="28"/>
                <w:szCs w:val="28"/>
              </w:rPr>
              <w:t>Politiske målsætninger</w:t>
            </w:r>
          </w:p>
        </w:tc>
        <w:tc>
          <w:tcPr>
            <w:tcW w:w="7870" w:type="dxa"/>
          </w:tcPr>
          <w:p w:rsidR="00A63998" w:rsidRPr="00C8072E" w:rsidRDefault="00A63998" w:rsidP="00E2448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63998" w:rsidRPr="00C15CC7" w:rsidTr="00E24486">
        <w:tc>
          <w:tcPr>
            <w:tcW w:w="1908" w:type="dxa"/>
          </w:tcPr>
          <w:p w:rsidR="00A63998" w:rsidRPr="00C15CC7" w:rsidRDefault="00A63998" w:rsidP="00E2448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870" w:type="dxa"/>
          </w:tcPr>
          <w:p w:rsidR="00A63998" w:rsidRDefault="00A63998" w:rsidP="00A6399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ældre med få eller ingen behov for pleje og omsorg har mulighed for at være aktive borgere med et socialt og sundt liv</w:t>
            </w:r>
          </w:p>
          <w:p w:rsidR="00A63998" w:rsidRPr="00C15CC7" w:rsidRDefault="00A63998" w:rsidP="00A63998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ældre med behov for rehabilitering og socialt netværk bevarer et godt</w:t>
            </w:r>
            <w:r w:rsidR="005A6060">
              <w:rPr>
                <w:rFonts w:ascii="Calibri" w:hAnsi="Calibri"/>
              </w:rPr>
              <w:t xml:space="preserve"> og værdigt</w:t>
            </w:r>
            <w:r>
              <w:rPr>
                <w:rFonts w:ascii="Calibri" w:hAnsi="Calibri"/>
              </w:rPr>
              <w:t xml:space="preserve"> liv uden afhængighed af andre</w:t>
            </w:r>
          </w:p>
          <w:p w:rsidR="00A63998" w:rsidRPr="0002279F" w:rsidRDefault="00A63998" w:rsidP="00C8072E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02279F">
              <w:rPr>
                <w:rFonts w:ascii="Calibri" w:hAnsi="Calibri"/>
              </w:rPr>
              <w:t>At</w:t>
            </w:r>
            <w:r w:rsidR="008C49A8">
              <w:rPr>
                <w:rFonts w:ascii="Calibri" w:hAnsi="Calibri"/>
              </w:rPr>
              <w:t xml:space="preserve"> alle</w:t>
            </w:r>
            <w:r w:rsidRPr="0002279F">
              <w:rPr>
                <w:rFonts w:ascii="Calibri" w:hAnsi="Calibri"/>
              </w:rPr>
              <w:t xml:space="preserve"> borgere med behov for sygepleje, pleje og omsorg modtager behandling og hjælp</w:t>
            </w:r>
            <w:r w:rsidR="004E4481" w:rsidRPr="00216AC0">
              <w:rPr>
                <w:rFonts w:ascii="Calibri" w:hAnsi="Calibri"/>
              </w:rPr>
              <w:t>,</w:t>
            </w:r>
            <w:r w:rsidRPr="00216AC0">
              <w:rPr>
                <w:rFonts w:ascii="Calibri" w:hAnsi="Calibri"/>
              </w:rPr>
              <w:t xml:space="preserve"> </w:t>
            </w:r>
            <w:r w:rsidR="004E4481" w:rsidRPr="00216AC0">
              <w:t>bl.a. med tilbud om mad og ernæring til forskellige målgrupper,</w:t>
            </w:r>
            <w:r w:rsidR="004E4481" w:rsidRPr="00216AC0">
              <w:rPr>
                <w:rFonts w:ascii="Calibri" w:hAnsi="Calibri"/>
              </w:rPr>
              <w:t xml:space="preserve"> </w:t>
            </w:r>
            <w:r w:rsidRPr="00216AC0">
              <w:rPr>
                <w:rFonts w:ascii="Calibri" w:hAnsi="Calibri"/>
              </w:rPr>
              <w:t>ved langsomt fremadskridende sygdom</w:t>
            </w:r>
            <w:r w:rsidR="00CF0A2E" w:rsidRPr="00216AC0">
              <w:rPr>
                <w:rFonts w:ascii="Calibri" w:hAnsi="Calibri"/>
              </w:rPr>
              <w:t>,</w:t>
            </w:r>
            <w:r w:rsidRPr="00216AC0">
              <w:rPr>
                <w:rFonts w:ascii="Calibri" w:hAnsi="Calibri"/>
              </w:rPr>
              <w:t xml:space="preserve"> og ved </w:t>
            </w:r>
            <w:r w:rsidR="00C8072E" w:rsidRPr="00216AC0">
              <w:rPr>
                <w:rFonts w:ascii="Calibri" w:hAnsi="Calibri"/>
              </w:rPr>
              <w:t>helbredstruende eller</w:t>
            </w:r>
            <w:r w:rsidR="00EB7FC0" w:rsidRPr="00216AC0">
              <w:rPr>
                <w:rFonts w:ascii="Calibri" w:hAnsi="Calibri"/>
              </w:rPr>
              <w:t xml:space="preserve"> </w:t>
            </w:r>
            <w:r w:rsidRPr="00216AC0">
              <w:rPr>
                <w:rFonts w:ascii="Calibri" w:hAnsi="Calibri"/>
              </w:rPr>
              <w:t xml:space="preserve">livstruende </w:t>
            </w:r>
            <w:r w:rsidRPr="0002279F">
              <w:rPr>
                <w:rFonts w:ascii="Calibri" w:hAnsi="Calibri"/>
              </w:rPr>
              <w:t>sygdom modtager lindring, støtte og nærhed</w:t>
            </w:r>
            <w:r w:rsidR="005A6060" w:rsidRPr="0002279F">
              <w:rPr>
                <w:rFonts w:ascii="Calibri" w:hAnsi="Calibri"/>
              </w:rPr>
              <w:t xml:space="preserve"> på en værdig måde</w:t>
            </w:r>
            <w:r w:rsidRPr="0002279F">
              <w:rPr>
                <w:rFonts w:ascii="Calibri" w:hAnsi="Calibri"/>
              </w:rPr>
              <w:t>.</w:t>
            </w:r>
          </w:p>
          <w:p w:rsidR="00AE4B09" w:rsidRDefault="00B37DAC" w:rsidP="00FA6C73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FA6C73">
              <w:rPr>
                <w:rFonts w:ascii="Calibri" w:hAnsi="Calibri"/>
              </w:rPr>
              <w:t>At borgern</w:t>
            </w:r>
            <w:r w:rsidR="00FA6C73">
              <w:rPr>
                <w:rFonts w:ascii="Calibri" w:hAnsi="Calibri"/>
              </w:rPr>
              <w:t xml:space="preserve">e modtager en helhedsorienteret, venlig </w:t>
            </w:r>
            <w:r w:rsidRPr="00FA6C73">
              <w:rPr>
                <w:rFonts w:ascii="Calibri" w:hAnsi="Calibri"/>
              </w:rPr>
              <w:t xml:space="preserve">og </w:t>
            </w:r>
            <w:r w:rsidR="00CA1F13">
              <w:rPr>
                <w:rFonts w:ascii="Calibri" w:hAnsi="Calibri"/>
              </w:rPr>
              <w:t xml:space="preserve">fagligt </w:t>
            </w:r>
            <w:r w:rsidRPr="00FA6C73">
              <w:rPr>
                <w:rFonts w:ascii="Calibri" w:hAnsi="Calibri"/>
              </w:rPr>
              <w:t>kompetent hjælp.</w:t>
            </w:r>
          </w:p>
          <w:p w:rsidR="00B37DAC" w:rsidRPr="00C15CC7" w:rsidRDefault="00AE4B09" w:rsidP="00AE4B09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pårørende involveres i det omfang borgeren ønsker det indenfor de muligheder lovgivning på området rummer.</w:t>
            </w:r>
            <w:r w:rsidR="00FA6C73" w:rsidRPr="00FA6C73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:rsidR="00A63998" w:rsidRDefault="00A63998" w:rsidP="00A63998">
      <w:pPr>
        <w:rPr>
          <w:rFonts w:ascii="Verdana" w:hAnsi="Verdana"/>
          <w:sz w:val="22"/>
          <w:szCs w:val="22"/>
        </w:rPr>
      </w:pPr>
    </w:p>
    <w:tbl>
      <w:tblPr>
        <w:tblStyle w:val="Tabel-Git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A63998" w:rsidRPr="003C18E1" w:rsidTr="00E24486">
        <w:tc>
          <w:tcPr>
            <w:tcW w:w="1908" w:type="dxa"/>
            <w:tcBorders>
              <w:bottom w:val="single" w:sz="4" w:space="0" w:color="999999"/>
            </w:tcBorders>
          </w:tcPr>
          <w:p w:rsidR="00A63998" w:rsidRPr="003C18E1" w:rsidRDefault="00A63998" w:rsidP="00E2448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3C18E1">
              <w:rPr>
                <w:rFonts w:asciiTheme="minorHAnsi" w:hAnsiTheme="minorHAnsi"/>
                <w:b/>
                <w:sz w:val="28"/>
                <w:szCs w:val="28"/>
              </w:rPr>
              <w:t>Effekt</w:t>
            </w:r>
          </w:p>
        </w:tc>
        <w:tc>
          <w:tcPr>
            <w:tcW w:w="7870" w:type="dxa"/>
          </w:tcPr>
          <w:p w:rsidR="00A63998" w:rsidRPr="00C8072E" w:rsidRDefault="00A63998" w:rsidP="006A6A1A">
            <w:pPr>
              <w:spacing w:before="120" w:after="120"/>
              <w:rPr>
                <w:rFonts w:asciiTheme="minorHAnsi" w:hAnsiTheme="minorHAnsi"/>
                <w:color w:val="00B050"/>
              </w:rPr>
            </w:pPr>
          </w:p>
        </w:tc>
      </w:tr>
      <w:tr w:rsidR="00A63998" w:rsidRPr="00C15CC7" w:rsidTr="00E24486">
        <w:tc>
          <w:tcPr>
            <w:tcW w:w="1908" w:type="dxa"/>
            <w:tcBorders>
              <w:bottom w:val="single" w:sz="4" w:space="0" w:color="999999"/>
            </w:tcBorders>
          </w:tcPr>
          <w:p w:rsidR="00A63998" w:rsidRPr="00C15CC7" w:rsidRDefault="00A63998" w:rsidP="00E2448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7870" w:type="dxa"/>
          </w:tcPr>
          <w:p w:rsidR="005A6060" w:rsidRDefault="005A6060" w:rsidP="005A6060">
            <w:pPr>
              <w:spacing w:before="120" w:after="120"/>
              <w:rPr>
                <w:rFonts w:asciiTheme="minorHAnsi" w:hAnsiTheme="minorHAnsi"/>
              </w:rPr>
            </w:pPr>
            <w:r w:rsidRPr="00B37DAC">
              <w:rPr>
                <w:rFonts w:asciiTheme="minorHAnsi" w:hAnsiTheme="minorHAnsi"/>
                <w:b/>
              </w:rPr>
              <w:t>Rådgivning og vejledning</w:t>
            </w:r>
            <w:r>
              <w:rPr>
                <w:rFonts w:asciiTheme="minorHAnsi" w:hAnsiTheme="minorHAnsi"/>
              </w:rPr>
              <w:t xml:space="preserve"> til den ”raske ældre” om det sunde liv samt tilbud om aktiviteter der stimulerer såvel den me</w:t>
            </w:r>
            <w:r w:rsidR="008C49A8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tale som den fysiske sundhed</w:t>
            </w:r>
            <w:r w:rsidR="00CF0A2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samt modvirker social isolation</w:t>
            </w:r>
          </w:p>
          <w:p w:rsidR="00A1182E" w:rsidRDefault="005A6060" w:rsidP="005A606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Effekt</w:t>
            </w:r>
            <w:r w:rsidR="00A1182E">
              <w:rPr>
                <w:rFonts w:asciiTheme="minorHAnsi" w:hAnsiTheme="minorHAnsi"/>
              </w:rPr>
              <w:t>:</w:t>
            </w:r>
          </w:p>
          <w:p w:rsidR="00AE4B09" w:rsidRPr="00943392" w:rsidRDefault="00AE4B09" w:rsidP="005A6060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At andelen af + 64-årige, der ikke har behov for hjemmehjælp eller alene deltager i forebyggende indsats og aktiviteter, stiger år for år.</w:t>
            </w:r>
          </w:p>
          <w:p w:rsidR="00A1182E" w:rsidRPr="00943392" w:rsidRDefault="00A1182E" w:rsidP="005A6060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At</w:t>
            </w:r>
            <w:r w:rsidR="00CF0A2E" w:rsidRPr="00943392">
              <w:rPr>
                <w:rFonts w:asciiTheme="minorHAnsi" w:hAnsiTheme="minorHAnsi"/>
              </w:rPr>
              <w:t xml:space="preserve"> andelen</w:t>
            </w:r>
            <w:r w:rsidRPr="00943392">
              <w:rPr>
                <w:rFonts w:asciiTheme="minorHAnsi" w:hAnsiTheme="minorHAnsi"/>
              </w:rPr>
              <w:t xml:space="preserve"> af de + 75 årige</w:t>
            </w:r>
            <w:r w:rsidR="00CF0A2E" w:rsidRPr="00943392">
              <w:rPr>
                <w:rFonts w:asciiTheme="minorHAnsi" w:hAnsiTheme="minorHAnsi"/>
              </w:rPr>
              <w:t>, der</w:t>
            </w:r>
            <w:r w:rsidRPr="00943392">
              <w:rPr>
                <w:rFonts w:asciiTheme="minorHAnsi" w:hAnsiTheme="minorHAnsi"/>
              </w:rPr>
              <w:t xml:space="preserve"> deltager i forebyggende</w:t>
            </w:r>
            <w:r w:rsidR="00AE4B09" w:rsidRPr="00943392">
              <w:rPr>
                <w:rFonts w:asciiTheme="minorHAnsi" w:hAnsiTheme="minorHAnsi"/>
              </w:rPr>
              <w:t xml:space="preserve"> indsats </w:t>
            </w:r>
            <w:r w:rsidR="003B0129" w:rsidRPr="00943392">
              <w:rPr>
                <w:rFonts w:asciiTheme="minorHAnsi" w:hAnsiTheme="minorHAnsi"/>
              </w:rPr>
              <w:t>m</w:t>
            </w:r>
            <w:r w:rsidR="008F5FDC" w:rsidRPr="00943392">
              <w:rPr>
                <w:rFonts w:asciiTheme="minorHAnsi" w:hAnsiTheme="minorHAnsi"/>
              </w:rPr>
              <w:t xml:space="preserve">ålt i uge </w:t>
            </w:r>
            <w:r w:rsidR="00AE4B09" w:rsidRPr="00943392">
              <w:rPr>
                <w:rFonts w:asciiTheme="minorHAnsi" w:hAnsiTheme="minorHAnsi"/>
              </w:rPr>
              <w:t xml:space="preserve">11 og ved årets udgang </w:t>
            </w:r>
            <w:r w:rsidR="00CF0A2E" w:rsidRPr="00943392">
              <w:rPr>
                <w:rFonts w:asciiTheme="minorHAnsi" w:hAnsiTheme="minorHAnsi"/>
              </w:rPr>
              <w:t>stiger år for år.</w:t>
            </w:r>
          </w:p>
          <w:p w:rsidR="00A1182E" w:rsidRPr="00943392" w:rsidRDefault="00BD7A72" w:rsidP="005A6060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At tilfredshedsundersøgelser viser en borgertilfredshed på 90 % set i forhold til den forebyggende indsats.</w:t>
            </w:r>
          </w:p>
          <w:p w:rsidR="00A1182E" w:rsidRPr="00943392" w:rsidRDefault="005A6060" w:rsidP="005A6060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  <w:b/>
              </w:rPr>
              <w:t>En rehabiliterende indsats</w:t>
            </w:r>
            <w:r w:rsidRPr="00943392">
              <w:rPr>
                <w:rFonts w:asciiTheme="minorHAnsi" w:hAnsiTheme="minorHAnsi"/>
              </w:rPr>
              <w:t xml:space="preserve"> skal understøtte </w:t>
            </w:r>
            <w:r w:rsidR="00A1182E" w:rsidRPr="00943392">
              <w:rPr>
                <w:rFonts w:asciiTheme="minorHAnsi" w:hAnsiTheme="minorHAnsi"/>
              </w:rPr>
              <w:t>det</w:t>
            </w:r>
            <w:r w:rsidRPr="00943392">
              <w:rPr>
                <w:rFonts w:asciiTheme="minorHAnsi" w:hAnsiTheme="minorHAnsi"/>
              </w:rPr>
              <w:t xml:space="preserve"> værdig</w:t>
            </w:r>
            <w:r w:rsidR="00A1182E" w:rsidRPr="00943392">
              <w:rPr>
                <w:rFonts w:asciiTheme="minorHAnsi" w:hAnsiTheme="minorHAnsi"/>
              </w:rPr>
              <w:t>e</w:t>
            </w:r>
            <w:r w:rsidRPr="00943392">
              <w:rPr>
                <w:rFonts w:asciiTheme="minorHAnsi" w:hAnsiTheme="minorHAnsi"/>
              </w:rPr>
              <w:t xml:space="preserve"> liv ved at den enkelte med funktionsbegrænsninger</w:t>
            </w:r>
            <w:r w:rsidR="00A1182E" w:rsidRPr="00943392">
              <w:rPr>
                <w:rFonts w:asciiTheme="minorHAnsi" w:hAnsiTheme="minorHAnsi"/>
              </w:rPr>
              <w:t xml:space="preserve"> med </w:t>
            </w:r>
            <w:r w:rsidR="00AE4B09" w:rsidRPr="00943392">
              <w:rPr>
                <w:rFonts w:asciiTheme="minorHAnsi" w:hAnsiTheme="minorHAnsi"/>
              </w:rPr>
              <w:t xml:space="preserve">kompenserende hjælpemidler, </w:t>
            </w:r>
            <w:r w:rsidR="00A1182E" w:rsidRPr="00943392">
              <w:rPr>
                <w:rFonts w:asciiTheme="minorHAnsi" w:hAnsiTheme="minorHAnsi"/>
              </w:rPr>
              <w:lastRenderedPageBreak/>
              <w:t>støtteforanstaltninger</w:t>
            </w:r>
            <w:r w:rsidR="00CF0A2E" w:rsidRPr="00943392">
              <w:rPr>
                <w:rFonts w:asciiTheme="minorHAnsi" w:hAnsiTheme="minorHAnsi"/>
              </w:rPr>
              <w:t>, aktivitet</w:t>
            </w:r>
            <w:r w:rsidR="00A1182E" w:rsidRPr="00943392">
              <w:rPr>
                <w:rFonts w:asciiTheme="minorHAnsi" w:hAnsiTheme="minorHAnsi"/>
              </w:rPr>
              <w:t xml:space="preserve"> og</w:t>
            </w:r>
            <w:r w:rsidRPr="00943392">
              <w:rPr>
                <w:rFonts w:asciiTheme="minorHAnsi" w:hAnsiTheme="minorHAnsi"/>
              </w:rPr>
              <w:t xml:space="preserve"> </w:t>
            </w:r>
            <w:r w:rsidR="00A1182E" w:rsidRPr="00943392">
              <w:rPr>
                <w:rFonts w:asciiTheme="minorHAnsi" w:hAnsiTheme="minorHAnsi"/>
              </w:rPr>
              <w:t xml:space="preserve">træning </w:t>
            </w:r>
            <w:r w:rsidRPr="00943392">
              <w:rPr>
                <w:rFonts w:asciiTheme="minorHAnsi" w:hAnsiTheme="minorHAnsi"/>
              </w:rPr>
              <w:t>kan takle sit daglige liv bedst muligt</w:t>
            </w:r>
            <w:r w:rsidR="00A1182E" w:rsidRPr="00943392">
              <w:rPr>
                <w:rFonts w:asciiTheme="minorHAnsi" w:hAnsiTheme="minorHAnsi"/>
              </w:rPr>
              <w:t>, og på trods af opstået sygdom i et vist omfang kan genvinde tidligere funktionsevne</w:t>
            </w:r>
          </w:p>
          <w:p w:rsidR="005A6060" w:rsidRPr="00943392" w:rsidRDefault="00A1182E" w:rsidP="005A6060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Effekt:</w:t>
            </w:r>
          </w:p>
          <w:p w:rsidR="003B0129" w:rsidRPr="00943392" w:rsidRDefault="00CF0A2E" w:rsidP="00CF0A2E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At n</w:t>
            </w:r>
            <w:r w:rsidR="00A1182E" w:rsidRPr="00943392">
              <w:rPr>
                <w:rFonts w:asciiTheme="minorHAnsi" w:hAnsiTheme="minorHAnsi"/>
              </w:rPr>
              <w:t>iveauet for b</w:t>
            </w:r>
            <w:r w:rsidR="00B37DAC" w:rsidRPr="00943392">
              <w:rPr>
                <w:rFonts w:asciiTheme="minorHAnsi" w:hAnsiTheme="minorHAnsi"/>
              </w:rPr>
              <w:t xml:space="preserve">evilling af </w:t>
            </w:r>
            <w:r w:rsidR="008F0771" w:rsidRPr="00943392">
              <w:rPr>
                <w:rFonts w:asciiTheme="minorHAnsi" w:hAnsiTheme="minorHAnsi"/>
              </w:rPr>
              <w:t xml:space="preserve">varig </w:t>
            </w:r>
            <w:r w:rsidRPr="00943392">
              <w:rPr>
                <w:rFonts w:asciiTheme="minorHAnsi" w:hAnsiTheme="minorHAnsi"/>
              </w:rPr>
              <w:t xml:space="preserve">personlig pleje og praktisk hjælp </w:t>
            </w:r>
            <w:r w:rsidR="008F0771" w:rsidRPr="00943392">
              <w:rPr>
                <w:rFonts w:asciiTheme="minorHAnsi" w:hAnsiTheme="minorHAnsi"/>
              </w:rPr>
              <w:t xml:space="preserve">jf. serviceloven § 83 </w:t>
            </w:r>
            <w:r w:rsidRPr="00943392">
              <w:rPr>
                <w:rFonts w:asciiTheme="minorHAnsi" w:hAnsiTheme="minorHAnsi"/>
              </w:rPr>
              <w:t xml:space="preserve">fastholdes på 2015 niveau og </w:t>
            </w:r>
            <w:r w:rsidR="00D4796E" w:rsidRPr="00943392">
              <w:rPr>
                <w:rFonts w:asciiTheme="minorHAnsi" w:hAnsiTheme="minorHAnsi"/>
              </w:rPr>
              <w:t xml:space="preserve">herefter fastholder en lavere procentvis stigningstakt </w:t>
            </w:r>
            <w:r w:rsidR="008F0771" w:rsidRPr="00943392">
              <w:rPr>
                <w:rFonts w:asciiTheme="minorHAnsi" w:hAnsiTheme="minorHAnsi"/>
              </w:rPr>
              <w:t xml:space="preserve">pr. år </w:t>
            </w:r>
            <w:r w:rsidR="00D4796E" w:rsidRPr="00943392">
              <w:rPr>
                <w:rFonts w:asciiTheme="minorHAnsi" w:hAnsiTheme="minorHAnsi"/>
              </w:rPr>
              <w:t>set i forhold</w:t>
            </w:r>
            <w:r w:rsidR="008F0771" w:rsidRPr="00943392">
              <w:rPr>
                <w:rFonts w:asciiTheme="minorHAnsi" w:hAnsiTheme="minorHAnsi"/>
              </w:rPr>
              <w:t xml:space="preserve"> til den faktiske demografiske udvikling.</w:t>
            </w:r>
            <w:r w:rsidR="00D4796E" w:rsidRPr="00943392">
              <w:rPr>
                <w:rFonts w:asciiTheme="minorHAnsi" w:hAnsiTheme="minorHAnsi"/>
              </w:rPr>
              <w:t xml:space="preserve"> </w:t>
            </w:r>
          </w:p>
          <w:p w:rsidR="008F0771" w:rsidRPr="00943392" w:rsidRDefault="008F0771" w:rsidP="00CF0A2E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At niveauet for bevilling af midlertidig personlig pleje og praktisk hjælp jf. serviceloven § 83 a fastholdes på 2015 niveau og herefter fastholder en lavere procentvis stigningstakt pr. år set i forhold til den faktiske demografiske udvikling.</w:t>
            </w:r>
          </w:p>
          <w:p w:rsidR="008B0696" w:rsidRPr="00943392" w:rsidRDefault="005A6060" w:rsidP="00E2448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  <w:b/>
              </w:rPr>
              <w:t>En behandlende og lindrende indsats</w:t>
            </w:r>
            <w:r w:rsidRPr="00943392">
              <w:rPr>
                <w:rFonts w:asciiTheme="minorHAnsi" w:hAnsiTheme="minorHAnsi"/>
              </w:rPr>
              <w:t xml:space="preserve"> skal hjælpe den alvorligt syge og plejekrævende borger</w:t>
            </w:r>
            <w:r w:rsidR="00B37DAC" w:rsidRPr="00943392">
              <w:rPr>
                <w:rFonts w:asciiTheme="minorHAnsi" w:hAnsiTheme="minorHAnsi"/>
              </w:rPr>
              <w:t xml:space="preserve"> som har erhvervet </w:t>
            </w:r>
            <w:r w:rsidR="00C874D5" w:rsidRPr="00943392">
              <w:rPr>
                <w:rFonts w:asciiTheme="minorHAnsi" w:hAnsiTheme="minorHAnsi"/>
              </w:rPr>
              <w:t>midlert</w:t>
            </w:r>
            <w:r w:rsidR="00B37DAC" w:rsidRPr="00943392">
              <w:rPr>
                <w:rFonts w:asciiTheme="minorHAnsi" w:hAnsiTheme="minorHAnsi"/>
              </w:rPr>
              <w:t>idigt eller varigt funktionstab til</w:t>
            </w:r>
            <w:r w:rsidR="00D4796E" w:rsidRPr="00943392">
              <w:rPr>
                <w:rFonts w:asciiTheme="minorHAnsi" w:hAnsiTheme="minorHAnsi"/>
              </w:rPr>
              <w:t>,</w:t>
            </w:r>
            <w:r w:rsidR="00B37DAC" w:rsidRPr="00943392">
              <w:rPr>
                <w:rFonts w:asciiTheme="minorHAnsi" w:hAnsiTheme="minorHAnsi"/>
              </w:rPr>
              <w:t xml:space="preserve"> på trods af afhængighed af andre</w:t>
            </w:r>
            <w:r w:rsidR="00D4796E" w:rsidRPr="00943392">
              <w:rPr>
                <w:rFonts w:asciiTheme="minorHAnsi" w:hAnsiTheme="minorHAnsi"/>
              </w:rPr>
              <w:t>,</w:t>
            </w:r>
            <w:r w:rsidR="00B37DAC" w:rsidRPr="00943392">
              <w:rPr>
                <w:rFonts w:asciiTheme="minorHAnsi" w:hAnsiTheme="minorHAnsi"/>
              </w:rPr>
              <w:t xml:space="preserve"> at få e</w:t>
            </w:r>
            <w:r w:rsidR="00D4796E" w:rsidRPr="00943392">
              <w:rPr>
                <w:rFonts w:asciiTheme="minorHAnsi" w:hAnsiTheme="minorHAnsi"/>
              </w:rPr>
              <w:t>n</w:t>
            </w:r>
            <w:r w:rsidR="00B37DAC" w:rsidRPr="00943392">
              <w:rPr>
                <w:rFonts w:asciiTheme="minorHAnsi" w:hAnsiTheme="minorHAnsi"/>
              </w:rPr>
              <w:t xml:space="preserve"> værdig tilværelse eller en værdig afslutning på livet</w:t>
            </w:r>
            <w:r w:rsidR="003203DF" w:rsidRPr="00943392">
              <w:rPr>
                <w:rFonts w:asciiTheme="minorHAnsi" w:hAnsiTheme="minorHAnsi"/>
              </w:rPr>
              <w:t>.</w:t>
            </w:r>
          </w:p>
          <w:p w:rsidR="00217FD9" w:rsidRPr="00943392" w:rsidRDefault="00217FD9" w:rsidP="00E65B6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Borgeren</w:t>
            </w:r>
            <w:r w:rsidR="00E65B66" w:rsidRPr="00943392">
              <w:rPr>
                <w:rFonts w:asciiTheme="minorHAnsi" w:hAnsiTheme="minorHAnsi"/>
              </w:rPr>
              <w:t xml:space="preserve"> </w:t>
            </w:r>
            <w:r w:rsidRPr="00943392">
              <w:rPr>
                <w:rFonts w:asciiTheme="minorHAnsi" w:hAnsiTheme="minorHAnsi"/>
              </w:rPr>
              <w:t xml:space="preserve">skal </w:t>
            </w:r>
            <w:r w:rsidR="00E65B66" w:rsidRPr="00943392">
              <w:rPr>
                <w:rFonts w:asciiTheme="minorHAnsi" w:hAnsiTheme="minorHAnsi"/>
              </w:rPr>
              <w:t xml:space="preserve">opleve en tryg overgang fra støtte og pleje </w:t>
            </w:r>
            <w:r w:rsidRPr="00943392">
              <w:rPr>
                <w:rFonts w:asciiTheme="minorHAnsi" w:hAnsiTheme="minorHAnsi"/>
              </w:rPr>
              <w:t>hen mod</w:t>
            </w:r>
            <w:r w:rsidR="00E65B66" w:rsidRPr="00943392">
              <w:rPr>
                <w:rFonts w:asciiTheme="minorHAnsi" w:hAnsiTheme="minorHAnsi"/>
              </w:rPr>
              <w:t xml:space="preserve"> behandling. </w:t>
            </w:r>
          </w:p>
          <w:p w:rsidR="00217FD9" w:rsidRPr="00943392" w:rsidRDefault="00217FD9" w:rsidP="00217FD9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De nærmeste pårørende til svært syge skal opleve tydelig vejledning og rådgivning om støttemuligheder, og eventuelt indgå konkrete aftaler om støtte eller hjælp i form af afløsning i hjemmet eller andre muligheder for hjælp.</w:t>
            </w:r>
          </w:p>
          <w:p w:rsidR="00E65B66" w:rsidRPr="00943392" w:rsidRDefault="00217FD9" w:rsidP="00E65B6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 xml:space="preserve">Den palliative borger </w:t>
            </w:r>
            <w:r w:rsidR="00E65B66" w:rsidRPr="00943392">
              <w:rPr>
                <w:rFonts w:asciiTheme="minorHAnsi" w:hAnsiTheme="minorHAnsi"/>
              </w:rPr>
              <w:t xml:space="preserve">og de pårørende </w:t>
            </w:r>
            <w:r w:rsidRPr="00943392">
              <w:rPr>
                <w:rFonts w:asciiTheme="minorHAnsi" w:hAnsiTheme="minorHAnsi"/>
              </w:rPr>
              <w:t xml:space="preserve">skal </w:t>
            </w:r>
            <w:r w:rsidR="00E65B66" w:rsidRPr="00943392">
              <w:rPr>
                <w:rFonts w:asciiTheme="minorHAnsi" w:hAnsiTheme="minorHAnsi"/>
              </w:rPr>
              <w:t>opleve en palliativ pleje og omsorg af høj kvalitet.</w:t>
            </w:r>
          </w:p>
          <w:p w:rsidR="00B37DAC" w:rsidRPr="00943392" w:rsidRDefault="00B37DAC" w:rsidP="00E2448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Effekt:</w:t>
            </w:r>
          </w:p>
          <w:p w:rsidR="001D6BC0" w:rsidRPr="00943392" w:rsidRDefault="00867416" w:rsidP="00943392">
            <w:pPr>
              <w:spacing w:before="120" w:after="120"/>
              <w:rPr>
                <w:rFonts w:asciiTheme="minorHAnsi" w:hAnsiTheme="minorHAnsi"/>
                <w:strike/>
              </w:rPr>
            </w:pPr>
            <w:r w:rsidRPr="00943392">
              <w:rPr>
                <w:rFonts w:asciiTheme="minorHAnsi" w:hAnsiTheme="minorHAnsi"/>
              </w:rPr>
              <w:t xml:space="preserve">At </w:t>
            </w:r>
            <w:r w:rsidR="00344973" w:rsidRPr="00943392">
              <w:rPr>
                <w:rFonts w:asciiTheme="minorHAnsi" w:hAnsiTheme="minorHAnsi"/>
              </w:rPr>
              <w:t>det gennemsnitlige niveau</w:t>
            </w:r>
            <w:r w:rsidRPr="00943392">
              <w:rPr>
                <w:rFonts w:asciiTheme="minorHAnsi" w:hAnsiTheme="minorHAnsi"/>
              </w:rPr>
              <w:t xml:space="preserve"> f</w:t>
            </w:r>
            <w:r w:rsidR="001D6BC0" w:rsidRPr="00943392">
              <w:rPr>
                <w:rFonts w:asciiTheme="minorHAnsi" w:hAnsiTheme="minorHAnsi"/>
              </w:rPr>
              <w:t xml:space="preserve">or </w:t>
            </w:r>
            <w:r w:rsidR="00D4796E" w:rsidRPr="00943392">
              <w:rPr>
                <w:rFonts w:asciiTheme="minorHAnsi" w:hAnsiTheme="minorHAnsi"/>
              </w:rPr>
              <w:t xml:space="preserve">levering af </w:t>
            </w:r>
            <w:r w:rsidR="001D6BC0" w:rsidRPr="00943392">
              <w:rPr>
                <w:rFonts w:asciiTheme="minorHAnsi" w:hAnsiTheme="minorHAnsi"/>
              </w:rPr>
              <w:t>ydelser efter sundhedsloven</w:t>
            </w:r>
            <w:r w:rsidR="00557FC6" w:rsidRPr="00943392">
              <w:rPr>
                <w:rFonts w:asciiTheme="minorHAnsi" w:hAnsiTheme="minorHAnsi"/>
              </w:rPr>
              <w:t xml:space="preserve"> på Frit Valgs området </w:t>
            </w:r>
            <w:r w:rsidR="00344973" w:rsidRPr="00943392">
              <w:rPr>
                <w:rFonts w:asciiTheme="minorHAnsi" w:hAnsiTheme="minorHAnsi"/>
              </w:rPr>
              <w:t>fastholdes på</w:t>
            </w:r>
            <w:r w:rsidR="00557FC6" w:rsidRPr="00943392">
              <w:rPr>
                <w:rFonts w:asciiTheme="minorHAnsi" w:hAnsiTheme="minorHAnsi"/>
              </w:rPr>
              <w:t xml:space="preserve"> 2015 niveau med</w:t>
            </w:r>
            <w:r w:rsidR="00344973" w:rsidRPr="00943392">
              <w:rPr>
                <w:rFonts w:asciiTheme="minorHAnsi" w:hAnsiTheme="minorHAnsi"/>
              </w:rPr>
              <w:t xml:space="preserve"> i gennemsnit 0,5 t pr. uge pr. borger</w:t>
            </w:r>
            <w:r w:rsidR="00557FC6" w:rsidRPr="00943392">
              <w:rPr>
                <w:rFonts w:asciiTheme="minorHAnsi" w:hAnsiTheme="minorHAnsi"/>
              </w:rPr>
              <w:t xml:space="preserve">. </w:t>
            </w:r>
          </w:p>
          <w:p w:rsidR="00217FD9" w:rsidRPr="00943392" w:rsidRDefault="00217FD9" w:rsidP="00E2448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 xml:space="preserve">At det ved </w:t>
            </w:r>
            <w:r w:rsidR="0077007E" w:rsidRPr="00943392">
              <w:rPr>
                <w:rFonts w:asciiTheme="minorHAnsi" w:hAnsiTheme="minorHAnsi"/>
              </w:rPr>
              <w:t>audit på 30 journaler én gang årligt fremgår at der med 90 % af borgere med nærmeste pårørende er indgået konkrete aftaler om pårørendesamarbejdet. Fx indflytningssamtaler ved indflytning i plejebolig, forventningssamtaler ved rehabiliterende og genoptræningsindsats og andre samtaler, hvor forventningsafstemning og konkrete aftaler finder sted med leverandør af pleje og sygepleje.</w:t>
            </w:r>
          </w:p>
          <w:p w:rsidR="0002279F" w:rsidRPr="00943392" w:rsidRDefault="00C874D5" w:rsidP="00E2448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  <w:b/>
              </w:rPr>
              <w:t>Tværsektorielt og tværfagligt samarbejde</w:t>
            </w:r>
            <w:r w:rsidRPr="00943392">
              <w:rPr>
                <w:rFonts w:asciiTheme="minorHAnsi" w:hAnsiTheme="minorHAnsi"/>
              </w:rPr>
              <w:t xml:space="preserve"> og Sundhedsstyrelsens krav til opgavevaretagelse danner grundlag for den nødvendige indsats.</w:t>
            </w:r>
            <w:r w:rsidR="0002279F" w:rsidRPr="00943392">
              <w:rPr>
                <w:rFonts w:asciiTheme="minorHAnsi" w:hAnsiTheme="minorHAnsi"/>
              </w:rPr>
              <w:t xml:space="preserve"> Der sikres tiltag i forhold til rekruttering</w:t>
            </w:r>
            <w:r w:rsidR="00557FC6" w:rsidRPr="00943392">
              <w:rPr>
                <w:rFonts w:asciiTheme="minorHAnsi" w:hAnsiTheme="minorHAnsi"/>
              </w:rPr>
              <w:t>, fastholdelse</w:t>
            </w:r>
            <w:r w:rsidR="0002279F" w:rsidRPr="00943392">
              <w:rPr>
                <w:rFonts w:asciiTheme="minorHAnsi" w:hAnsiTheme="minorHAnsi"/>
              </w:rPr>
              <w:t xml:space="preserve"> og kompetenceløft</w:t>
            </w:r>
            <w:r w:rsidR="00281331" w:rsidRPr="00943392">
              <w:rPr>
                <w:rFonts w:asciiTheme="minorHAnsi" w:hAnsiTheme="minorHAnsi"/>
              </w:rPr>
              <w:t>, samt deltagelse i netværk mv</w:t>
            </w:r>
            <w:r w:rsidR="0002279F" w:rsidRPr="00943392">
              <w:rPr>
                <w:rFonts w:asciiTheme="minorHAnsi" w:hAnsiTheme="minorHAnsi"/>
              </w:rPr>
              <w:t>.</w:t>
            </w:r>
          </w:p>
          <w:p w:rsidR="0002279F" w:rsidRPr="00943392" w:rsidRDefault="00C874D5" w:rsidP="00E24486">
            <w:pPr>
              <w:spacing w:before="120" w:after="120"/>
              <w:rPr>
                <w:rFonts w:asciiTheme="minorHAnsi" w:hAnsiTheme="minorHAnsi"/>
              </w:rPr>
            </w:pPr>
            <w:r w:rsidRPr="00943392">
              <w:rPr>
                <w:rFonts w:asciiTheme="minorHAnsi" w:hAnsiTheme="minorHAnsi"/>
              </w:rPr>
              <w:t>Effekt</w:t>
            </w:r>
            <w:r w:rsidR="0002279F" w:rsidRPr="00943392">
              <w:rPr>
                <w:rFonts w:asciiTheme="minorHAnsi" w:hAnsiTheme="minorHAnsi"/>
              </w:rPr>
              <w:t>:</w:t>
            </w:r>
          </w:p>
          <w:p w:rsidR="00A63998" w:rsidRPr="00C15CC7" w:rsidRDefault="00281331" w:rsidP="00C405F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 n</w:t>
            </w:r>
            <w:r w:rsidR="00867416">
              <w:rPr>
                <w:rFonts w:asciiTheme="minorHAnsi" w:hAnsiTheme="minorHAnsi"/>
              </w:rPr>
              <w:t>iveauet for genindlæggelser</w:t>
            </w:r>
            <w:r>
              <w:rPr>
                <w:rFonts w:asciiTheme="minorHAnsi" w:hAnsiTheme="minorHAnsi"/>
              </w:rPr>
              <w:t>,</w:t>
            </w:r>
            <w:r w:rsidR="00557FC6">
              <w:rPr>
                <w:rFonts w:asciiTheme="minorHAnsi" w:hAnsiTheme="minorHAnsi"/>
              </w:rPr>
              <w:t xml:space="preserve"> defineret som forebyggelige indlæggelser</w:t>
            </w:r>
            <w:r>
              <w:rPr>
                <w:rFonts w:asciiTheme="minorHAnsi" w:hAnsiTheme="minorHAnsi"/>
              </w:rPr>
              <w:t>,</w:t>
            </w:r>
            <w:r w:rsidR="00557FC6">
              <w:rPr>
                <w:rFonts w:asciiTheme="minorHAnsi" w:hAnsiTheme="minorHAnsi"/>
              </w:rPr>
              <w:t xml:space="preserve"> fastholder det nuværende lave </w:t>
            </w:r>
            <w:r>
              <w:rPr>
                <w:rFonts w:asciiTheme="minorHAnsi" w:hAnsiTheme="minorHAnsi"/>
              </w:rPr>
              <w:t xml:space="preserve">2015 </w:t>
            </w:r>
            <w:r w:rsidR="00557FC6">
              <w:rPr>
                <w:rFonts w:asciiTheme="minorHAnsi" w:hAnsiTheme="minorHAnsi"/>
              </w:rPr>
              <w:t>niveau eller</w:t>
            </w:r>
            <w:r w:rsidR="00867416">
              <w:rPr>
                <w:rFonts w:asciiTheme="minorHAnsi" w:hAnsiTheme="minorHAnsi"/>
              </w:rPr>
              <w:t xml:space="preserve"> </w:t>
            </w:r>
            <w:r w:rsidR="00557FC6">
              <w:rPr>
                <w:rFonts w:asciiTheme="minorHAnsi" w:hAnsiTheme="minorHAnsi"/>
              </w:rPr>
              <w:t>reduceres yderligere.</w:t>
            </w:r>
          </w:p>
        </w:tc>
      </w:tr>
    </w:tbl>
    <w:p w:rsidR="00A63998" w:rsidRPr="00C15CC7" w:rsidRDefault="00A63998" w:rsidP="00A63998">
      <w:pPr>
        <w:pStyle w:val="DNKNormal"/>
        <w:rPr>
          <w:rFonts w:asciiTheme="minorHAnsi" w:hAnsiTheme="minorHAnsi"/>
          <w:i/>
          <w:sz w:val="24"/>
          <w:szCs w:val="24"/>
        </w:rPr>
      </w:pPr>
    </w:p>
    <w:tbl>
      <w:tblPr>
        <w:tblStyle w:val="Tabel-Gitter"/>
        <w:tblW w:w="97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72"/>
      </w:tblGrid>
      <w:tr w:rsidR="00A63998" w:rsidRPr="003C18E1" w:rsidTr="00970663">
        <w:tc>
          <w:tcPr>
            <w:tcW w:w="1129" w:type="dxa"/>
            <w:tcBorders>
              <w:bottom w:val="single" w:sz="4" w:space="0" w:color="999999"/>
            </w:tcBorders>
          </w:tcPr>
          <w:p w:rsidR="00A63998" w:rsidRPr="003C18E1" w:rsidRDefault="00A63998" w:rsidP="00E2448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Bilag</w:t>
            </w:r>
          </w:p>
        </w:tc>
        <w:tc>
          <w:tcPr>
            <w:tcW w:w="8572" w:type="dxa"/>
          </w:tcPr>
          <w:p w:rsidR="00A63998" w:rsidRPr="003C18E1" w:rsidRDefault="00A63998" w:rsidP="00E24486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Beslutningsgrundlag</w:t>
            </w:r>
          </w:p>
        </w:tc>
      </w:tr>
      <w:tr w:rsidR="00A63998" w:rsidRPr="00C15CC7" w:rsidTr="00970663">
        <w:tc>
          <w:tcPr>
            <w:tcW w:w="1129" w:type="dxa"/>
            <w:tcBorders>
              <w:bottom w:val="single" w:sz="4" w:space="0" w:color="999999"/>
            </w:tcBorders>
          </w:tcPr>
          <w:p w:rsidR="0041356C" w:rsidRDefault="0041356C" w:rsidP="00E24486">
            <w:pPr>
              <w:spacing w:before="120" w:after="120"/>
              <w:rPr>
                <w:rFonts w:asciiTheme="minorHAnsi" w:hAnsiTheme="minorHAnsi"/>
              </w:rPr>
            </w:pPr>
          </w:p>
          <w:p w:rsidR="00A63998" w:rsidRPr="0041356C" w:rsidRDefault="00A63998" w:rsidP="004135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72" w:type="dxa"/>
          </w:tcPr>
          <w:p w:rsidR="0041356C" w:rsidRDefault="003C0526" w:rsidP="00E24486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Link til Sundhedsstyrelsens håndbog af 20. oktober 201</w:t>
            </w:r>
            <w:r w:rsidR="00D14F72">
              <w:rPr>
                <w:rFonts w:asciiTheme="minorHAnsi" w:hAnsiTheme="minorHAnsi"/>
                <w:i/>
                <w:sz w:val="24"/>
                <w:szCs w:val="24"/>
              </w:rPr>
              <w:t>5</w:t>
            </w: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 xml:space="preserve"> om Forebyggelse på ældreområdet</w:t>
            </w:r>
          </w:p>
          <w:p w:rsidR="003C0526" w:rsidRDefault="007206F1" w:rsidP="00E24486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hyperlink r:id="rId8" w:history="1">
              <w:r w:rsidR="00D14F72" w:rsidRPr="006C3D00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https://sundhedsstyrelsen.dk/da/nyheder/2015/ny-haandbog-forebyggelse-paa-aeldreomraadet</w:t>
              </w:r>
            </w:hyperlink>
          </w:p>
          <w:p w:rsidR="003C0526" w:rsidRPr="0041356C" w:rsidRDefault="003C0526" w:rsidP="00E24486">
            <w:pPr>
              <w:pStyle w:val="DNKNormal"/>
              <w:rPr>
                <w:rStyle w:val="Hyperlink"/>
              </w:rPr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Forløbsprogrammer bl.a. demens</w:t>
            </w:r>
            <w:r w:rsidR="00D14F7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hyperlink r:id="rId9" w:history="1">
              <w:r w:rsidR="00EC12A4" w:rsidRPr="00EC12A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https://www.sundhed.dk/content/cms/23/91823_forlobsprogram-demens.pdf</w:t>
              </w:r>
            </w:hyperlink>
          </w:p>
          <w:p w:rsidR="00D14F72" w:rsidRPr="0041356C" w:rsidRDefault="0041356C" w:rsidP="00E24486">
            <w:pPr>
              <w:pStyle w:val="DNKNormal"/>
              <w:rPr>
                <w:rStyle w:val="Hyperlink"/>
              </w:rPr>
            </w:pP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instrText xml:space="preserve"> HYPERLINK "https://sundhedsstyrelsen.dk/~/media/85140414C1E24E939BCBDC43CCCFCF19.ashx" </w:instrText>
            </w: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separate"/>
            </w:r>
            <w:r w:rsidR="00D14F72" w:rsidRPr="0041356C">
              <w:rPr>
                <w:rStyle w:val="Hyperlink"/>
                <w:rFonts w:asciiTheme="minorHAnsi" w:hAnsiTheme="minorHAnsi"/>
                <w:sz w:val="24"/>
                <w:szCs w:val="24"/>
              </w:rPr>
              <w:t>https://sundhedsstyrelsen.dk/~/media/85140414C1E24E939BCBDC43CCCFCF19.ashx</w:t>
            </w:r>
          </w:p>
          <w:p w:rsidR="00D14F72" w:rsidRPr="0041356C" w:rsidRDefault="0041356C" w:rsidP="00E24486">
            <w:pPr>
              <w:pStyle w:val="DNKNormal"/>
              <w:rPr>
                <w:rStyle w:val="Hyperlink"/>
              </w:rPr>
            </w:pP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instrText xml:space="preserve"> HYPERLINK "http://www.regionsjaelland.dk/Sundhed/patient-i-region-sjaelland/Sundhedsaftalen/Forebyggelse/Sider/Forløbsprogrammer.aspx" </w:instrText>
            </w: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separate"/>
            </w:r>
            <w:r w:rsidR="00275358" w:rsidRPr="0041356C">
              <w:rPr>
                <w:rStyle w:val="Hyperlink"/>
                <w:rFonts w:asciiTheme="minorHAnsi" w:hAnsiTheme="minorHAnsi"/>
                <w:sz w:val="24"/>
                <w:szCs w:val="24"/>
              </w:rPr>
              <w:t>http://www.regionsjaelland.dk/Sundhed/patient-i-region-sjaelland/Sundhedsaftalen/Forebyggelse/Sider/Forløbsprogrammer.aspx</w:t>
            </w:r>
          </w:p>
          <w:p w:rsidR="00EC12A4" w:rsidRDefault="0041356C" w:rsidP="00E24486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Style w:val="Hyperlink"/>
                <w:rFonts w:asciiTheme="minorHAnsi" w:hAnsiTheme="minorHAnsi"/>
                <w:sz w:val="24"/>
                <w:szCs w:val="24"/>
              </w:rPr>
              <w:fldChar w:fldCharType="end"/>
            </w:r>
            <w:r w:rsidR="003C0526" w:rsidRPr="00D14F72">
              <w:rPr>
                <w:rFonts w:asciiTheme="minorHAnsi" w:hAnsiTheme="minorHAnsi"/>
                <w:i/>
                <w:sz w:val="24"/>
                <w:szCs w:val="24"/>
              </w:rPr>
              <w:t>Sundheds</w:t>
            </w:r>
            <w:r w:rsidR="00EC12A4">
              <w:rPr>
                <w:rFonts w:asciiTheme="minorHAnsi" w:hAnsiTheme="minorHAnsi"/>
                <w:i/>
                <w:sz w:val="24"/>
                <w:szCs w:val="24"/>
              </w:rPr>
              <w:t>politikken</w:t>
            </w:r>
          </w:p>
          <w:p w:rsidR="00EC12A4" w:rsidRDefault="007206F1" w:rsidP="00E24486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hyperlink r:id="rId10" w:history="1">
              <w:r w:rsidR="00EC12A4" w:rsidRPr="00EC12A4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http://vordingborg.dk/media/8094912/politik-for-sundhed-godkendt-af-kb-22-09-2016.docx</w:t>
              </w:r>
            </w:hyperlink>
          </w:p>
          <w:p w:rsidR="00275358" w:rsidRDefault="00EC12A4" w:rsidP="00E24486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Psykiatri- og H</w:t>
            </w:r>
            <w:r w:rsidR="00275358">
              <w:rPr>
                <w:rFonts w:asciiTheme="minorHAnsi" w:hAnsiTheme="minorHAnsi"/>
                <w:i/>
                <w:sz w:val="24"/>
                <w:szCs w:val="24"/>
              </w:rPr>
              <w:t>andikap</w:t>
            </w:r>
            <w:r w:rsidR="003C0526" w:rsidRPr="00D14F72">
              <w:rPr>
                <w:rFonts w:asciiTheme="minorHAnsi" w:hAnsiTheme="minorHAnsi"/>
                <w:i/>
                <w:sz w:val="24"/>
                <w:szCs w:val="24"/>
              </w:rPr>
              <w:t>politikken</w:t>
            </w:r>
          </w:p>
          <w:p w:rsidR="00EC12A4" w:rsidRDefault="007206F1" w:rsidP="00275358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hyperlink r:id="rId11" w:history="1">
              <w:r w:rsidR="00EC12A4" w:rsidRPr="002A1BC6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http://vordingborg.dk/media/8094911/politik-for-psykiatri-og-handicap-godkendt-af-kb-21-12-2016.docx</w:t>
              </w:r>
            </w:hyperlink>
          </w:p>
          <w:p w:rsidR="00275358" w:rsidRDefault="00275358" w:rsidP="00275358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Sundhedsstyrelsens f</w:t>
            </w: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orebyggelsespakker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hyperlink r:id="rId12" w:history="1">
              <w:r w:rsidRPr="006C3D00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http://sundhedsstyrelsen.dk/da/planlaegning/kommuner/forebyggelsespakker</w:t>
              </w:r>
            </w:hyperlink>
          </w:p>
          <w:p w:rsidR="00020683" w:rsidRPr="00275358" w:rsidRDefault="00020683" w:rsidP="00E24486">
            <w:pPr>
              <w:pStyle w:val="DNKNormal"/>
              <w:rPr>
                <w:rFonts w:asciiTheme="minorHAnsi" w:hAnsiTheme="minorHAnsi"/>
                <w:sz w:val="24"/>
                <w:szCs w:val="24"/>
              </w:rPr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Link til Sundt Seniorliv</w:t>
            </w:r>
            <w:r w:rsidR="00F9042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hyperlink r:id="rId13" w:history="1">
              <w:r w:rsidR="00275358" w:rsidRPr="0027535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http://vordingborg.dk/borger/omsorg-og-saerlig-stoette/forebyggelse-og-traening/sundt-seniorliv/</w:t>
              </w:r>
            </w:hyperlink>
          </w:p>
          <w:p w:rsidR="00020683" w:rsidRDefault="00020683" w:rsidP="00E24486">
            <w:pPr>
              <w:pStyle w:val="DNKNormal"/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Link til elevuddannelse</w:t>
            </w:r>
            <w:r w:rsidR="00F9042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hyperlink r:id="rId14" w:history="1">
              <w:r w:rsidR="00275358" w:rsidRPr="0027535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http://vordingborg.dk/kommunen/job-i-kommunen/uddannelsestilbud/</w:t>
              </w:r>
            </w:hyperlink>
          </w:p>
          <w:p w:rsidR="00275358" w:rsidRDefault="006A6A1A" w:rsidP="00275358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Link til Kvalitetsstandarder og til Serviceinformation</w:t>
            </w:r>
            <w:r w:rsidR="00F9042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275358" w:rsidRPr="00EA2ADE" w:rsidRDefault="007206F1" w:rsidP="00275358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hyperlink r:id="rId15" w:history="1">
              <w:r w:rsidR="00EA2ADE" w:rsidRPr="00EA2ADE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http://vordingborg.dk/seniorraadet/kvalitetstandard/</w:t>
              </w:r>
            </w:hyperlink>
          </w:p>
          <w:p w:rsidR="007206F1" w:rsidRDefault="00BD2629" w:rsidP="00B938DF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>Link til retningslinjer for tilsyn</w:t>
            </w:r>
            <w:r w:rsidR="00F9042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B938DF" w:rsidRDefault="007206F1" w:rsidP="00B938DF">
            <w:pPr>
              <w:pStyle w:val="DNKNormal"/>
            </w:pPr>
            <w:r>
              <w:fldChar w:fldCharType="begin"/>
            </w:r>
            <w:r>
              <w:instrText xml:space="preserve"> HYPERLINK "http://vordingborg.dk/borger/omsorg-og-saerlig-stoette/tilsyn-og-magtanvendelse/tilsyn-plejecentre/" </w:instrText>
            </w:r>
            <w:r>
              <w:fldChar w:fldCharType="separate"/>
            </w:r>
            <w:r w:rsidR="0041356C" w:rsidRPr="0041356C">
              <w:rPr>
                <w:rStyle w:val="Hyperlink"/>
                <w:rFonts w:asciiTheme="minorHAnsi" w:hAnsiTheme="minorHAnsi"/>
                <w:i/>
                <w:sz w:val="24"/>
                <w:szCs w:val="24"/>
              </w:rPr>
              <w:t>http://vordingborg.dk/borger/omsorg-og-saerlig-stoette/tilsyn-og-magtanvendelse/tilsyn-plejecentre/</w:t>
            </w:r>
            <w:r>
              <w:rPr>
                <w:rStyle w:val="Hyperlink"/>
                <w:rFonts w:asciiTheme="minorHAnsi" w:hAnsiTheme="minorHAnsi"/>
                <w:i/>
                <w:sz w:val="24"/>
                <w:szCs w:val="24"/>
              </w:rPr>
              <w:fldChar w:fldCharType="end"/>
            </w:r>
          </w:p>
          <w:p w:rsidR="009A160D" w:rsidRDefault="00BD2629" w:rsidP="009A160D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 xml:space="preserve">Link til </w:t>
            </w:r>
            <w:r w:rsidR="006A6A1A" w:rsidRPr="00D14F72">
              <w:rPr>
                <w:rFonts w:asciiTheme="minorHAnsi" w:hAnsiTheme="minorHAnsi"/>
                <w:i/>
                <w:sz w:val="24"/>
                <w:szCs w:val="24"/>
              </w:rPr>
              <w:t>arbejdsgangsbeskrivelse</w:t>
            </w:r>
            <w:r w:rsidRPr="00D14F72">
              <w:rPr>
                <w:rFonts w:asciiTheme="minorHAnsi" w:hAnsiTheme="minorHAnsi"/>
                <w:i/>
                <w:sz w:val="24"/>
                <w:szCs w:val="24"/>
              </w:rPr>
              <w:t xml:space="preserve"> på demensområdet</w:t>
            </w:r>
          </w:p>
          <w:p w:rsidR="00383E11" w:rsidRDefault="007206F1" w:rsidP="00B20ED2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hyperlink r:id="rId16" w:history="1">
              <w:r w:rsidR="00B20ED2" w:rsidRPr="00E33AA3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http://vordingborg.dk/media/3451206/opgave-og-ansvars-fordeling-i-forhold-til-borger-med-demens-2015.docx</w:t>
              </w:r>
            </w:hyperlink>
          </w:p>
          <w:p w:rsidR="00B20ED2" w:rsidRPr="00ED3DC5" w:rsidRDefault="00B20ED2" w:rsidP="00B20ED2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A63998" w:rsidRDefault="00A63998" w:rsidP="00A63998">
      <w:pPr>
        <w:rPr>
          <w:rFonts w:asciiTheme="minorHAnsi" w:hAnsiTheme="minorHAnsi"/>
        </w:rPr>
      </w:pPr>
    </w:p>
    <w:tbl>
      <w:tblPr>
        <w:tblStyle w:val="Tabel-Gitter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05"/>
      </w:tblGrid>
      <w:tr w:rsidR="00A63998" w:rsidRPr="003C18E1" w:rsidTr="00970663">
        <w:tc>
          <w:tcPr>
            <w:tcW w:w="1129" w:type="dxa"/>
            <w:tcBorders>
              <w:bottom w:val="single" w:sz="4" w:space="0" w:color="999999"/>
            </w:tcBorders>
          </w:tcPr>
          <w:p w:rsidR="00A63998" w:rsidRPr="003C18E1" w:rsidRDefault="00A63998" w:rsidP="00E2448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Dato</w:t>
            </w:r>
          </w:p>
        </w:tc>
        <w:tc>
          <w:tcPr>
            <w:tcW w:w="8505" w:type="dxa"/>
          </w:tcPr>
          <w:p w:rsidR="00A63998" w:rsidRPr="003D46AD" w:rsidRDefault="003D46AD" w:rsidP="00970663">
            <w:pPr>
              <w:spacing w:before="120" w:after="120"/>
              <w:ind w:left="-65" w:right="-108"/>
              <w:rPr>
                <w:rFonts w:asciiTheme="minorHAnsi" w:hAnsiTheme="minorHAnsi"/>
                <w:sz w:val="28"/>
                <w:szCs w:val="28"/>
              </w:rPr>
            </w:pPr>
            <w:r w:rsidRPr="003D46AD">
              <w:rPr>
                <w:rFonts w:asciiTheme="minorHAnsi" w:hAnsiTheme="minorHAnsi"/>
                <w:sz w:val="28"/>
                <w:szCs w:val="28"/>
              </w:rPr>
              <w:t>11. oktober 2018</w:t>
            </w:r>
            <w:r>
              <w:rPr>
                <w:rFonts w:asciiTheme="minorHAnsi" w:hAnsiTheme="minorHAnsi"/>
                <w:sz w:val="28"/>
                <w:szCs w:val="28"/>
              </w:rPr>
              <w:t>, godkendt i Kommunalbestyrelsen</w:t>
            </w:r>
          </w:p>
        </w:tc>
      </w:tr>
      <w:tr w:rsidR="00A63998" w:rsidRPr="00C15CC7" w:rsidTr="00970663">
        <w:tc>
          <w:tcPr>
            <w:tcW w:w="1129" w:type="dxa"/>
            <w:tcBorders>
              <w:bottom w:val="single" w:sz="4" w:space="0" w:color="999999"/>
            </w:tcBorders>
          </w:tcPr>
          <w:p w:rsidR="00A63998" w:rsidRPr="00C15CC7" w:rsidRDefault="00A63998" w:rsidP="00E24486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505" w:type="dxa"/>
          </w:tcPr>
          <w:p w:rsidR="00A63998" w:rsidRPr="00ED3DC5" w:rsidRDefault="00A63998" w:rsidP="00E24486">
            <w:pPr>
              <w:pStyle w:val="DNKNormal"/>
              <w:rPr>
                <w:rFonts w:asciiTheme="minorHAnsi" w:hAnsiTheme="minorHAnsi"/>
                <w:i/>
                <w:sz w:val="24"/>
                <w:szCs w:val="24"/>
              </w:rPr>
            </w:pPr>
            <w:r w:rsidRPr="00C15CC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EB3978" w:rsidRDefault="00EB3978"/>
    <w:sectPr w:rsidR="00EB3978" w:rsidSect="00970663">
      <w:headerReference w:type="default" r:id="rId17"/>
      <w:footerReference w:type="default" r:id="rId1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0A" w:rsidRDefault="0041780A" w:rsidP="00557FC6">
      <w:r>
        <w:separator/>
      </w:r>
    </w:p>
  </w:endnote>
  <w:endnote w:type="continuationSeparator" w:id="0">
    <w:p w:rsidR="0041780A" w:rsidRDefault="0041780A" w:rsidP="005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0061"/>
      <w:docPartObj>
        <w:docPartGallery w:val="Page Numbers (Bottom of Page)"/>
        <w:docPartUnique/>
      </w:docPartObj>
    </w:sdtPr>
    <w:sdtEndPr/>
    <w:sdtContent>
      <w:p w:rsidR="00557FC6" w:rsidRDefault="00557FC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0A" w:rsidRDefault="0041780A" w:rsidP="00557FC6">
      <w:r>
        <w:separator/>
      </w:r>
    </w:p>
  </w:footnote>
  <w:footnote w:type="continuationSeparator" w:id="0">
    <w:p w:rsidR="0041780A" w:rsidRDefault="0041780A" w:rsidP="0055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3B" w:rsidRDefault="00B1563B" w:rsidP="00B1563B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A2DB2A" wp14:editId="46BE856B">
          <wp:simplePos x="0" y="0"/>
          <wp:positionH relativeFrom="column">
            <wp:posOffset>5124450</wp:posOffset>
          </wp:positionH>
          <wp:positionV relativeFrom="paragraph">
            <wp:posOffset>29845</wp:posOffset>
          </wp:positionV>
          <wp:extent cx="1219200" cy="357505"/>
          <wp:effectExtent l="0" t="0" r="0" b="4445"/>
          <wp:wrapNone/>
          <wp:docPr id="3" name="Billed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63B" w:rsidRDefault="00B1563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2855"/>
    <w:multiLevelType w:val="hybridMultilevel"/>
    <w:tmpl w:val="E68060FA"/>
    <w:lvl w:ilvl="0" w:tplc="06065C36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99B27239-51DD-4BD6-800B-7C663DCF612E}"/>
  </w:docVars>
  <w:rsids>
    <w:rsidRoot w:val="00A63998"/>
    <w:rsid w:val="000165C4"/>
    <w:rsid w:val="00020683"/>
    <w:rsid w:val="0002279F"/>
    <w:rsid w:val="00080D9D"/>
    <w:rsid w:val="000B3517"/>
    <w:rsid w:val="000D21F2"/>
    <w:rsid w:val="0010370B"/>
    <w:rsid w:val="001D6BC0"/>
    <w:rsid w:val="00216AC0"/>
    <w:rsid w:val="00217FD9"/>
    <w:rsid w:val="00275358"/>
    <w:rsid w:val="00281331"/>
    <w:rsid w:val="00293786"/>
    <w:rsid w:val="002A0CCB"/>
    <w:rsid w:val="002C66C4"/>
    <w:rsid w:val="002E146C"/>
    <w:rsid w:val="00313CD3"/>
    <w:rsid w:val="003203DF"/>
    <w:rsid w:val="00333BE6"/>
    <w:rsid w:val="00344973"/>
    <w:rsid w:val="00383E11"/>
    <w:rsid w:val="003B0129"/>
    <w:rsid w:val="003C0526"/>
    <w:rsid w:val="003D46AD"/>
    <w:rsid w:val="003D46DB"/>
    <w:rsid w:val="003E445E"/>
    <w:rsid w:val="0041356C"/>
    <w:rsid w:val="00414193"/>
    <w:rsid w:val="0041780A"/>
    <w:rsid w:val="004431C3"/>
    <w:rsid w:val="004D6F19"/>
    <w:rsid w:val="004E4481"/>
    <w:rsid w:val="00525841"/>
    <w:rsid w:val="00557FC6"/>
    <w:rsid w:val="00574A13"/>
    <w:rsid w:val="005A0DB1"/>
    <w:rsid w:val="005A6060"/>
    <w:rsid w:val="005A77AB"/>
    <w:rsid w:val="005E7CDC"/>
    <w:rsid w:val="00680559"/>
    <w:rsid w:val="0069777E"/>
    <w:rsid w:val="006A6A1A"/>
    <w:rsid w:val="007206F1"/>
    <w:rsid w:val="007312E3"/>
    <w:rsid w:val="00767A25"/>
    <w:rsid w:val="0077007E"/>
    <w:rsid w:val="00772231"/>
    <w:rsid w:val="007B16DB"/>
    <w:rsid w:val="007D003A"/>
    <w:rsid w:val="007F3AB5"/>
    <w:rsid w:val="00823623"/>
    <w:rsid w:val="00825FD4"/>
    <w:rsid w:val="00845F07"/>
    <w:rsid w:val="00862E3F"/>
    <w:rsid w:val="008631B7"/>
    <w:rsid w:val="008654E7"/>
    <w:rsid w:val="00867416"/>
    <w:rsid w:val="008B0696"/>
    <w:rsid w:val="008C49A8"/>
    <w:rsid w:val="008F0771"/>
    <w:rsid w:val="008F5FDC"/>
    <w:rsid w:val="009262F3"/>
    <w:rsid w:val="00943392"/>
    <w:rsid w:val="009605F3"/>
    <w:rsid w:val="00962B71"/>
    <w:rsid w:val="00966FB1"/>
    <w:rsid w:val="00970663"/>
    <w:rsid w:val="009A160D"/>
    <w:rsid w:val="009C6336"/>
    <w:rsid w:val="009E5A35"/>
    <w:rsid w:val="009F2713"/>
    <w:rsid w:val="009F2C93"/>
    <w:rsid w:val="00A1182E"/>
    <w:rsid w:val="00A141D1"/>
    <w:rsid w:val="00A4020F"/>
    <w:rsid w:val="00A46B4E"/>
    <w:rsid w:val="00A63998"/>
    <w:rsid w:val="00A90138"/>
    <w:rsid w:val="00A97D00"/>
    <w:rsid w:val="00AA1EF9"/>
    <w:rsid w:val="00AB1215"/>
    <w:rsid w:val="00AB348A"/>
    <w:rsid w:val="00AE4B09"/>
    <w:rsid w:val="00AF4B56"/>
    <w:rsid w:val="00B02104"/>
    <w:rsid w:val="00B11D42"/>
    <w:rsid w:val="00B1563B"/>
    <w:rsid w:val="00B20ED2"/>
    <w:rsid w:val="00B37DAC"/>
    <w:rsid w:val="00B61FC8"/>
    <w:rsid w:val="00B938DF"/>
    <w:rsid w:val="00BB4F1F"/>
    <w:rsid w:val="00BD2629"/>
    <w:rsid w:val="00BD7A72"/>
    <w:rsid w:val="00BE6257"/>
    <w:rsid w:val="00C141D4"/>
    <w:rsid w:val="00C405FC"/>
    <w:rsid w:val="00C71D53"/>
    <w:rsid w:val="00C737E6"/>
    <w:rsid w:val="00C8072E"/>
    <w:rsid w:val="00C874D5"/>
    <w:rsid w:val="00C95764"/>
    <w:rsid w:val="00CA1F13"/>
    <w:rsid w:val="00CF0A2E"/>
    <w:rsid w:val="00D14F72"/>
    <w:rsid w:val="00D20D31"/>
    <w:rsid w:val="00D2704D"/>
    <w:rsid w:val="00D41826"/>
    <w:rsid w:val="00D4796E"/>
    <w:rsid w:val="00D5260E"/>
    <w:rsid w:val="00DF07FC"/>
    <w:rsid w:val="00E428EE"/>
    <w:rsid w:val="00E65B66"/>
    <w:rsid w:val="00E67022"/>
    <w:rsid w:val="00E752D8"/>
    <w:rsid w:val="00EA2ADE"/>
    <w:rsid w:val="00EB3978"/>
    <w:rsid w:val="00EB7FC0"/>
    <w:rsid w:val="00EC12A4"/>
    <w:rsid w:val="00EF5553"/>
    <w:rsid w:val="00EF7A55"/>
    <w:rsid w:val="00F458D5"/>
    <w:rsid w:val="00F9042C"/>
    <w:rsid w:val="00FA6C73"/>
    <w:rsid w:val="00FC3A5F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551CE8-B508-4652-BCBB-484F462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NKNormal">
    <w:name w:val="DNKNormal"/>
    <w:rsid w:val="00A63998"/>
    <w:pPr>
      <w:spacing w:after="0" w:line="288" w:lineRule="auto"/>
    </w:pPr>
    <w:rPr>
      <w:rFonts w:ascii="Trebuchet MS" w:eastAsia="Times New Roman" w:hAnsi="Trebuchet MS" w:cs="Times New Roman"/>
      <w:sz w:val="20"/>
      <w:szCs w:val="20"/>
      <w:lang w:eastAsia="da-DK"/>
    </w:rPr>
  </w:style>
  <w:style w:type="table" w:styleId="Tabel-Gitter">
    <w:name w:val="Table Grid"/>
    <w:basedOn w:val="Tabel-Normal"/>
    <w:rsid w:val="00A6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6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629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FA6C7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7F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7FC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557F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57FC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14F7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753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hedsstyrelsen.dk/da/nyheder/2015/ny-haandbog-forebyggelse-paa-aeldreomraadet" TargetMode="External"/><Relationship Id="rId13" Type="http://schemas.openxmlformats.org/officeDocument/2006/relationships/hyperlink" Target="http://vordingborg.dk/borger/omsorg-og-saerlig-stoette/forebyggelse-og-traening/sundt-seniorliv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ndhedsstyrelsen.dk/da/planlaegning/kommuner/forebyggelsespakk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ordingborg.dk/media/3451206/opgave-og-ansvars-fordeling-i-forhold-til-borger-med-demens-2015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rdingborg.dk/media/8094911/politik-for-psykiatri-og-handicap-godkendt-af-kb-21-12-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rdingborg.dk/seniorraadet/kvalitetstandard/" TargetMode="External"/><Relationship Id="rId10" Type="http://schemas.openxmlformats.org/officeDocument/2006/relationships/hyperlink" Target="http://vordingborg.dk/media/8094912/politik-for-sundhed-godkendt-af-kb-22-09-2016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ndhed.dk/content/cms/23/91823_forlobsprogram-demens.pdf" TargetMode="External"/><Relationship Id="rId14" Type="http://schemas.openxmlformats.org/officeDocument/2006/relationships/hyperlink" Target="http://vordingborg.dk/kommunen/job-i-kommunen/uddannelsestilbu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525C-E91B-4345-9868-D2FBE2BE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F361301A</Template>
  <TotalTime>29</TotalTime>
  <Pages>3</Pages>
  <Words>922</Words>
  <Characters>5874</Characters>
  <Application>Microsoft Office Word</Application>
  <DocSecurity>0</DocSecurity>
  <Lines>244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Johansen</dc:creator>
  <cp:keywords/>
  <dc:description/>
  <cp:lastModifiedBy>Susanne Johansen</cp:lastModifiedBy>
  <cp:revision>5</cp:revision>
  <cp:lastPrinted>2018-10-16T12:38:00Z</cp:lastPrinted>
  <dcterms:created xsi:type="dcterms:W3CDTF">2018-10-16T11:20:00Z</dcterms:created>
  <dcterms:modified xsi:type="dcterms:W3CDTF">2018-10-17T11:13:00Z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{385DE6AC-B904-419A-806C-3581C19691DB}</vt:lpwstr>
  </property>
</Properties>
</file>