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DD258A" w14:paraId="7D4DB085" w14:textId="77777777" w:rsidTr="00380B51">
        <w:trPr>
          <w:trHeight w:val="1984"/>
        </w:trPr>
        <w:tc>
          <w:tcPr>
            <w:tcW w:w="9781" w:type="dxa"/>
            <w:vAlign w:val="bottom"/>
          </w:tcPr>
          <w:p w14:paraId="519E21F3" w14:textId="77777777" w:rsidR="00742076" w:rsidRPr="002C35BA" w:rsidRDefault="00742076" w:rsidP="00380B51">
            <w:pPr>
              <w:pStyle w:val="ForsideIntro"/>
              <w:rPr>
                <w:color w:val="auto"/>
              </w:rPr>
            </w:pPr>
          </w:p>
          <w:p w14:paraId="3A89405E" w14:textId="77777777" w:rsidR="002B029E" w:rsidRPr="00DD258A" w:rsidRDefault="002B029E" w:rsidP="00380B51">
            <w:pPr>
              <w:pStyle w:val="ForsideOverskrift"/>
              <w:rPr>
                <w:b w:val="0"/>
                <w:caps w:val="0"/>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 w:type="dxa"/>
          </w:tcPr>
          <w:p w14:paraId="3E772EDD" w14:textId="77777777" w:rsidR="00742076" w:rsidRPr="00DD258A" w:rsidRDefault="00742076" w:rsidP="00380B51">
            <w:pPr>
              <w:pStyle w:val="ForsideIntro"/>
              <w:rPr>
                <w:color w:val="auto"/>
              </w:rPr>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5B20C1" w:rsidRPr="00DD258A" w14:paraId="640D20A6" w14:textId="77777777" w:rsidTr="00E6010E">
        <w:trPr>
          <w:cantSplit/>
          <w:trHeight w:val="1134"/>
        </w:trPr>
        <w:tc>
          <w:tcPr>
            <w:tcW w:w="680" w:type="dxa"/>
            <w:textDirection w:val="tbRl"/>
            <w:vAlign w:val="center"/>
          </w:tcPr>
          <w:p w14:paraId="2879CF29" w14:textId="77777777" w:rsidR="005B20C1" w:rsidRPr="00DD258A" w:rsidRDefault="005B20C1" w:rsidP="005B20C1">
            <w:pPr>
              <w:ind w:left="113" w:right="113"/>
              <w:jc w:val="right"/>
            </w:pPr>
          </w:p>
        </w:tc>
      </w:tr>
      <w:tr w:rsidR="005B20C1" w:rsidRPr="00DD258A" w14:paraId="3276166A" w14:textId="77777777" w:rsidTr="00E6010E">
        <w:trPr>
          <w:cantSplit/>
          <w:trHeight w:val="8222"/>
        </w:trPr>
        <w:tc>
          <w:tcPr>
            <w:tcW w:w="680" w:type="dxa"/>
            <w:textDirection w:val="tbRl"/>
            <w:vAlign w:val="center"/>
          </w:tcPr>
          <w:p w14:paraId="66AA6874" w14:textId="05EC04A4" w:rsidR="005B20C1" w:rsidRPr="00DD258A" w:rsidRDefault="005B20C1" w:rsidP="00397DFA">
            <w:pPr>
              <w:pStyle w:val="ForsideSidepanel"/>
              <w:framePr w:wrap="auto" w:vAnchor="margin" w:hAnchor="text" w:xAlign="left" w:yAlign="inline"/>
              <w:suppressOverlap w:val="0"/>
              <w:rPr>
                <w:color w:val="auto"/>
              </w:rPr>
            </w:pPr>
            <w:r w:rsidRPr="00DD258A">
              <w:rPr>
                <w:color w:val="auto"/>
              </w:rPr>
              <w:t>af</w:t>
            </w:r>
            <w:r w:rsidR="004270CE" w:rsidRPr="00DD258A">
              <w:rPr>
                <w:color w:val="auto"/>
              </w:rPr>
              <w:t xml:space="preserve">DELING FOR </w:t>
            </w:r>
            <w:r w:rsidR="00DA2945">
              <w:rPr>
                <w:color w:val="auto"/>
              </w:rPr>
              <w:t>Vej</w:t>
            </w:r>
            <w:r w:rsidR="004270CE" w:rsidRPr="00DD258A">
              <w:rPr>
                <w:color w:val="auto"/>
              </w:rPr>
              <w:t xml:space="preserve">, </w:t>
            </w:r>
            <w:r w:rsidR="00DA2945">
              <w:rPr>
                <w:color w:val="auto"/>
              </w:rPr>
              <w:t>Natur</w:t>
            </w:r>
            <w:r w:rsidR="004270CE" w:rsidRPr="00DD258A">
              <w:rPr>
                <w:color w:val="auto"/>
              </w:rPr>
              <w:t xml:space="preserve"> OG mILJØ</w:t>
            </w:r>
          </w:p>
        </w:tc>
      </w:tr>
      <w:tr w:rsidR="005B20C1" w:rsidRPr="00DD258A" w14:paraId="6C5CBD0C" w14:textId="77777777" w:rsidTr="008C42B4">
        <w:trPr>
          <w:cantSplit/>
          <w:trHeight w:val="4306"/>
        </w:trPr>
        <w:tc>
          <w:tcPr>
            <w:tcW w:w="680" w:type="dxa"/>
            <w:textDirection w:val="tbRl"/>
            <w:vAlign w:val="center"/>
          </w:tcPr>
          <w:p w14:paraId="7746A60A" w14:textId="77777777" w:rsidR="005B20C1" w:rsidRPr="00DD258A" w:rsidRDefault="005B20C1" w:rsidP="005B20C1">
            <w:pPr>
              <w:pStyle w:val="ForsideWebadresse"/>
              <w:framePr w:wrap="auto" w:vAnchor="margin" w:hAnchor="text" w:xAlign="left" w:yAlign="inline"/>
              <w:suppressOverlap w:val="0"/>
              <w:rPr>
                <w:color w:val="auto"/>
              </w:rPr>
            </w:pPr>
            <w:r w:rsidRPr="00DD258A">
              <w:rPr>
                <w:color w:val="auto"/>
              </w:rPr>
              <w:t>vordingborg.dk</w:t>
            </w:r>
          </w:p>
        </w:tc>
      </w:tr>
    </w:tbl>
    <w:p w14:paraId="3CCD7975" w14:textId="77777777" w:rsidR="005A1400" w:rsidRPr="00DD258A" w:rsidRDefault="005A1400" w:rsidP="00E25F00"/>
    <w:p w14:paraId="31B96056" w14:textId="77777777" w:rsidR="008B0965" w:rsidRPr="00DD258A" w:rsidRDefault="008B0965" w:rsidP="008B0965"/>
    <w:p w14:paraId="2FB18D1F" w14:textId="77777777" w:rsidR="00380B51" w:rsidRPr="00DD258A" w:rsidRDefault="00380B51" w:rsidP="008B0965"/>
    <w:p w14:paraId="497FBBD9" w14:textId="77777777" w:rsidR="00380B51" w:rsidRPr="00DD258A" w:rsidRDefault="00380B51" w:rsidP="00380B51"/>
    <w:p w14:paraId="445648A7" w14:textId="77777777" w:rsidR="00380B51" w:rsidRPr="00DD258A" w:rsidRDefault="00380B51" w:rsidP="00380B51"/>
    <w:p w14:paraId="3D2DF9D2" w14:textId="77777777" w:rsidR="00380B51" w:rsidRPr="00DD258A" w:rsidRDefault="00380B51" w:rsidP="00380B51"/>
    <w:p w14:paraId="27D5CE40" w14:textId="77777777" w:rsidR="00380B51" w:rsidRPr="00DD258A" w:rsidRDefault="00380B51" w:rsidP="00380B51"/>
    <w:p w14:paraId="50562260" w14:textId="77777777" w:rsidR="00380B51" w:rsidRPr="00DD258A" w:rsidRDefault="00380B51" w:rsidP="00380B51"/>
    <w:p w14:paraId="13718E66" w14:textId="77777777" w:rsidR="00380B51" w:rsidRPr="00DD258A" w:rsidRDefault="00380B51" w:rsidP="00380B51"/>
    <w:p w14:paraId="0670AA83" w14:textId="77777777" w:rsidR="002B029E" w:rsidRPr="00DD258A" w:rsidRDefault="00B075AA" w:rsidP="002B029E">
      <w:pPr>
        <w:rPr>
          <w:rFonts w:cs="Arial"/>
          <w:b/>
          <w:sz w:val="44"/>
          <w:szCs w:val="44"/>
        </w:rPr>
      </w:pPr>
      <w:r w:rsidRPr="00DD258A">
        <w:rPr>
          <w:rFonts w:cs="Arial"/>
          <w:b/>
          <w:sz w:val="44"/>
          <w:szCs w:val="44"/>
        </w:rPr>
        <w:t>R</w:t>
      </w:r>
      <w:r w:rsidR="00DF4486">
        <w:rPr>
          <w:rFonts w:cs="Arial"/>
          <w:b/>
          <w:sz w:val="44"/>
          <w:szCs w:val="44"/>
        </w:rPr>
        <w:t>egulativ for erhvervsaffald</w:t>
      </w:r>
    </w:p>
    <w:p w14:paraId="2B4A13B2" w14:textId="77777777" w:rsidR="002B029E" w:rsidRPr="00DD258A" w:rsidRDefault="002B029E" w:rsidP="002B029E">
      <w:pPr>
        <w:rPr>
          <w:rFonts w:asciiTheme="minorHAnsi" w:hAnsiTheme="minorHAnsi"/>
          <w:b/>
          <w:sz w:val="44"/>
          <w:szCs w:val="44"/>
        </w:rPr>
      </w:pPr>
    </w:p>
    <w:p w14:paraId="53E25EAB" w14:textId="77777777" w:rsidR="002B029E" w:rsidRPr="00DD258A" w:rsidRDefault="002B029E" w:rsidP="002B029E">
      <w:pPr>
        <w:rPr>
          <w:rFonts w:asciiTheme="minorHAnsi" w:hAnsiTheme="minorHAnsi" w:cs="Arial"/>
          <w:b/>
          <w:bCs/>
          <w:sz w:val="36"/>
          <w:szCs w:val="36"/>
        </w:rPr>
      </w:pPr>
    </w:p>
    <w:p w14:paraId="2E569925" w14:textId="77777777" w:rsidR="002B029E" w:rsidRPr="00DD258A" w:rsidRDefault="002B029E" w:rsidP="002B029E">
      <w:pPr>
        <w:rPr>
          <w:rFonts w:asciiTheme="minorHAnsi" w:hAnsiTheme="minorHAnsi" w:cs="Arial"/>
          <w:bCs/>
          <w:sz w:val="36"/>
          <w:szCs w:val="36"/>
        </w:rPr>
      </w:pPr>
    </w:p>
    <w:p w14:paraId="4B3DDDCF" w14:textId="77777777" w:rsidR="00380B51" w:rsidRPr="00DD258A" w:rsidRDefault="00380B51" w:rsidP="00380B51"/>
    <w:p w14:paraId="1F731EF9" w14:textId="77777777" w:rsidR="00124755" w:rsidRPr="00DD258A" w:rsidRDefault="00124755" w:rsidP="00380B51"/>
    <w:p w14:paraId="1E7808F5" w14:textId="77777777" w:rsidR="00124755" w:rsidRPr="00DD258A" w:rsidRDefault="00124755" w:rsidP="00380B51">
      <w:pPr>
        <w:rPr>
          <w:highlight w:val="yellow"/>
        </w:rPr>
      </w:pPr>
    </w:p>
    <w:p w14:paraId="7DFC51F4" w14:textId="77777777" w:rsidR="00124755" w:rsidRPr="00DD258A" w:rsidRDefault="00124755" w:rsidP="00380B51">
      <w:pPr>
        <w:rPr>
          <w:highlight w:val="yellow"/>
        </w:rPr>
      </w:pPr>
    </w:p>
    <w:p w14:paraId="53E0EB43" w14:textId="77777777" w:rsidR="00124755" w:rsidRPr="00DD258A" w:rsidRDefault="00124755" w:rsidP="00380B51">
      <w:pPr>
        <w:rPr>
          <w:highlight w:val="yellow"/>
        </w:rPr>
      </w:pPr>
    </w:p>
    <w:p w14:paraId="76AE3949" w14:textId="77777777" w:rsidR="00124755" w:rsidRPr="00DD258A" w:rsidRDefault="00124755" w:rsidP="00380B51">
      <w:pPr>
        <w:rPr>
          <w:highlight w:val="yellow"/>
        </w:rPr>
      </w:pPr>
    </w:p>
    <w:p w14:paraId="14D89E75" w14:textId="77777777" w:rsidR="00124755" w:rsidRPr="00DD258A" w:rsidRDefault="00124755" w:rsidP="00380B51">
      <w:pPr>
        <w:rPr>
          <w:highlight w:val="yellow"/>
        </w:rPr>
      </w:pPr>
    </w:p>
    <w:p w14:paraId="5543A893" w14:textId="77777777" w:rsidR="00124755" w:rsidRPr="00DD258A" w:rsidRDefault="00124755" w:rsidP="00380B51">
      <w:pPr>
        <w:rPr>
          <w:highlight w:val="yellow"/>
        </w:rPr>
      </w:pPr>
    </w:p>
    <w:p w14:paraId="1FA6E07A" w14:textId="77777777" w:rsidR="00124755" w:rsidRPr="00DD258A" w:rsidRDefault="00124755" w:rsidP="00380B51">
      <w:pPr>
        <w:rPr>
          <w:highlight w:val="yellow"/>
        </w:rPr>
      </w:pPr>
    </w:p>
    <w:p w14:paraId="5FFE7053" w14:textId="77777777" w:rsidR="00380B51" w:rsidRPr="00DD258A" w:rsidRDefault="00380B51" w:rsidP="00380B51"/>
    <w:p w14:paraId="3F280F59" w14:textId="77777777" w:rsidR="001F7737" w:rsidRPr="00DD258A" w:rsidRDefault="001F7737" w:rsidP="00380B51"/>
    <w:p w14:paraId="7EE19215" w14:textId="77777777" w:rsidR="001F7737" w:rsidRPr="00DD258A" w:rsidRDefault="001F7737" w:rsidP="00380B51"/>
    <w:p w14:paraId="2EAE3E25" w14:textId="77777777" w:rsidR="001F7737" w:rsidRPr="00DD258A" w:rsidRDefault="001F7737" w:rsidP="00380B51"/>
    <w:p w14:paraId="6D92D77F" w14:textId="77777777" w:rsidR="001F7737" w:rsidRPr="00DD258A" w:rsidRDefault="001F7737" w:rsidP="00380B51"/>
    <w:p w14:paraId="35621CF9" w14:textId="77777777" w:rsidR="001F7737" w:rsidRPr="00DD258A" w:rsidRDefault="001F7737" w:rsidP="00380B51"/>
    <w:p w14:paraId="0FFE3D6C" w14:textId="77777777" w:rsidR="001F7737" w:rsidRPr="00DD258A" w:rsidRDefault="001F7737" w:rsidP="00380B51"/>
    <w:p w14:paraId="27871E38" w14:textId="77777777" w:rsidR="001F7737" w:rsidRPr="00DD258A" w:rsidRDefault="001F7737" w:rsidP="00380B51"/>
    <w:p w14:paraId="059F16D9" w14:textId="77777777" w:rsidR="00195076" w:rsidRPr="00DD258A" w:rsidRDefault="00195076" w:rsidP="00380B51"/>
    <w:p w14:paraId="433C47C4" w14:textId="77777777" w:rsidR="00380B51" w:rsidRPr="00DD258A" w:rsidRDefault="00380B51" w:rsidP="00380B51"/>
    <w:p w14:paraId="7A9A083C" w14:textId="77777777" w:rsidR="00380B51" w:rsidRPr="00DD258A" w:rsidRDefault="00380B51" w:rsidP="00380B51"/>
    <w:p w14:paraId="023AE46E" w14:textId="77777777" w:rsidR="001416BC" w:rsidRPr="00DD258A" w:rsidRDefault="001416BC" w:rsidP="00380B51"/>
    <w:p w14:paraId="285A028A" w14:textId="77777777" w:rsidR="00B0651A" w:rsidRPr="00DD258A" w:rsidRDefault="003D51CC" w:rsidP="003D51CC">
      <w:pPr>
        <w:tabs>
          <w:tab w:val="left" w:pos="6521"/>
        </w:tabs>
      </w:pPr>
      <w:r w:rsidRPr="00DD258A">
        <w:tab/>
      </w:r>
    </w:p>
    <w:p w14:paraId="202032EA" w14:textId="77777777" w:rsidR="00DF4486" w:rsidRDefault="00DF4486" w:rsidP="00DD258A">
      <w:pPr>
        <w:tabs>
          <w:tab w:val="left" w:pos="6521"/>
        </w:tabs>
      </w:pPr>
    </w:p>
    <w:p w14:paraId="0E4E1021" w14:textId="5EA6B06F" w:rsidR="00DD258A" w:rsidRPr="00DD258A" w:rsidRDefault="00DF4486" w:rsidP="00DD258A">
      <w:pPr>
        <w:tabs>
          <w:tab w:val="left" w:pos="6521"/>
        </w:tabs>
        <w:rPr>
          <w:lang w:val="en-US"/>
        </w:rPr>
      </w:pPr>
      <w:r>
        <w:tab/>
        <w:t xml:space="preserve">Ikrafttræden 1. </w:t>
      </w:r>
      <w:r w:rsidR="008E6D3D">
        <w:t>marts</w:t>
      </w:r>
      <w:r>
        <w:t xml:space="preserve"> 20</w:t>
      </w:r>
      <w:r w:rsidR="00C91559">
        <w:t>2</w:t>
      </w:r>
      <w:r w:rsidR="00630209">
        <w:t>5</w:t>
      </w:r>
    </w:p>
    <w:p w14:paraId="63CD82A6" w14:textId="77777777" w:rsidR="00E22F78" w:rsidRPr="00DD258A" w:rsidRDefault="003D51CC" w:rsidP="00DD258A">
      <w:pPr>
        <w:tabs>
          <w:tab w:val="left" w:pos="6521"/>
        </w:tabs>
      </w:pPr>
      <w:r w:rsidRPr="00DD258A">
        <w:tab/>
      </w:r>
    </w:p>
    <w:p w14:paraId="5E1A1124" w14:textId="77777777" w:rsidR="00E22F78" w:rsidRPr="00DD258A" w:rsidRDefault="00E22F78" w:rsidP="003D51CC">
      <w:pPr>
        <w:tabs>
          <w:tab w:val="left" w:pos="6521"/>
        </w:tabs>
      </w:pPr>
    </w:p>
    <w:p w14:paraId="29106F11" w14:textId="77777777" w:rsidR="00E22F78" w:rsidRPr="00DD258A" w:rsidRDefault="00E22F78" w:rsidP="003D51CC">
      <w:pPr>
        <w:tabs>
          <w:tab w:val="left" w:pos="6521"/>
        </w:tabs>
        <w:sectPr w:rsidR="00E22F78" w:rsidRPr="00DD258A" w:rsidSect="008C42B4">
          <w:headerReference w:type="default" r:id="rId8"/>
          <w:footerReference w:type="default" r:id="rId9"/>
          <w:pgSz w:w="11906" w:h="16838" w:code="9"/>
          <w:pgMar w:top="1134" w:right="1134" w:bottom="1134" w:left="1134" w:header="709" w:footer="709" w:gutter="0"/>
          <w:cols w:space="708"/>
          <w:docGrid w:linePitch="360"/>
        </w:sectPr>
      </w:pPr>
    </w:p>
    <w:sdt>
      <w:sdtPr>
        <w:rPr>
          <w:rFonts w:ascii="Arial" w:eastAsiaTheme="minorHAnsi" w:hAnsi="Arial" w:cstheme="minorBidi"/>
          <w:color w:val="auto"/>
          <w:sz w:val="22"/>
          <w:szCs w:val="22"/>
          <w:lang w:eastAsia="en-US"/>
        </w:rPr>
        <w:id w:val="-1267381019"/>
        <w:docPartObj>
          <w:docPartGallery w:val="Table of Contents"/>
          <w:docPartUnique/>
        </w:docPartObj>
      </w:sdtPr>
      <w:sdtEndPr>
        <w:rPr>
          <w:b/>
          <w:bCs/>
        </w:rPr>
      </w:sdtEndPr>
      <w:sdtContent>
        <w:p w14:paraId="7681A29C" w14:textId="77777777" w:rsidR="00A15A05" w:rsidRPr="00DD258A" w:rsidRDefault="00A15A05">
          <w:pPr>
            <w:pStyle w:val="Overskrift"/>
            <w:rPr>
              <w:rStyle w:val="NormaloverskriftTegn"/>
              <w:rFonts w:eastAsiaTheme="majorEastAsia"/>
              <w:color w:val="auto"/>
            </w:rPr>
          </w:pPr>
          <w:r w:rsidRPr="00DD258A">
            <w:rPr>
              <w:rStyle w:val="NormaloverskriftTegn"/>
              <w:rFonts w:eastAsiaTheme="majorEastAsia"/>
              <w:color w:val="auto"/>
            </w:rPr>
            <w:t>Indholdsfortegnelse</w:t>
          </w:r>
        </w:p>
        <w:p w14:paraId="28FBB336" w14:textId="02B47B20" w:rsidR="0065254A" w:rsidRDefault="00A15A05">
          <w:pPr>
            <w:pStyle w:val="Indholdsfortegnelse1"/>
            <w:rPr>
              <w:rFonts w:asciiTheme="minorHAnsi" w:eastAsiaTheme="minorEastAsia" w:hAnsiTheme="minorHAnsi"/>
              <w:b w:val="0"/>
              <w:caps w:val="0"/>
              <w:noProof/>
              <w:kern w:val="2"/>
              <w:sz w:val="24"/>
              <w:szCs w:val="24"/>
              <w:lang w:eastAsia="da-DK"/>
              <w14:ligatures w14:val="standardContextual"/>
            </w:rPr>
          </w:pPr>
          <w:r w:rsidRPr="00DD258A">
            <w:fldChar w:fldCharType="begin"/>
          </w:r>
          <w:r w:rsidRPr="00DD258A">
            <w:instrText xml:space="preserve"> TOC \o "1-1" \h \z \u </w:instrText>
          </w:r>
          <w:r w:rsidRPr="00DD258A">
            <w:fldChar w:fldCharType="separate"/>
          </w:r>
          <w:hyperlink w:anchor="_Toc178844963" w:history="1">
            <w:r w:rsidR="0065254A" w:rsidRPr="002A6A82">
              <w:rPr>
                <w:rStyle w:val="Hyperlink"/>
                <w:rFonts w:eastAsiaTheme="minorHAnsi"/>
                <w:noProof/>
              </w:rPr>
              <w:t>§ 1</w:t>
            </w:r>
            <w:r w:rsidR="0065254A">
              <w:rPr>
                <w:rFonts w:asciiTheme="minorHAnsi" w:eastAsiaTheme="minorEastAsia" w:hAnsiTheme="minorHAnsi"/>
                <w:b w:val="0"/>
                <w:caps w:val="0"/>
                <w:noProof/>
                <w:kern w:val="2"/>
                <w:sz w:val="24"/>
                <w:szCs w:val="24"/>
                <w:lang w:eastAsia="da-DK"/>
                <w14:ligatures w14:val="standardContextual"/>
              </w:rPr>
              <w:tab/>
            </w:r>
            <w:r w:rsidR="0065254A" w:rsidRPr="002A6A82">
              <w:rPr>
                <w:rStyle w:val="Hyperlink"/>
                <w:rFonts w:eastAsiaTheme="minorHAnsi"/>
                <w:noProof/>
              </w:rPr>
              <w:t>Formål m.v.</w:t>
            </w:r>
            <w:r w:rsidR="0065254A">
              <w:rPr>
                <w:noProof/>
                <w:webHidden/>
              </w:rPr>
              <w:tab/>
            </w:r>
            <w:r w:rsidR="0065254A">
              <w:rPr>
                <w:noProof/>
                <w:webHidden/>
              </w:rPr>
              <w:fldChar w:fldCharType="begin"/>
            </w:r>
            <w:r w:rsidR="0065254A">
              <w:rPr>
                <w:noProof/>
                <w:webHidden/>
              </w:rPr>
              <w:instrText xml:space="preserve"> PAGEREF _Toc178844963 \h </w:instrText>
            </w:r>
            <w:r w:rsidR="0065254A">
              <w:rPr>
                <w:noProof/>
                <w:webHidden/>
              </w:rPr>
            </w:r>
            <w:r w:rsidR="0065254A">
              <w:rPr>
                <w:noProof/>
                <w:webHidden/>
              </w:rPr>
              <w:fldChar w:fldCharType="separate"/>
            </w:r>
            <w:r w:rsidR="0065254A">
              <w:rPr>
                <w:noProof/>
                <w:webHidden/>
              </w:rPr>
              <w:t>3</w:t>
            </w:r>
            <w:r w:rsidR="0065254A">
              <w:rPr>
                <w:noProof/>
                <w:webHidden/>
              </w:rPr>
              <w:fldChar w:fldCharType="end"/>
            </w:r>
          </w:hyperlink>
        </w:p>
        <w:p w14:paraId="5B16F59C" w14:textId="018BB107"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64" w:history="1">
            <w:r w:rsidRPr="002A6A82">
              <w:rPr>
                <w:rStyle w:val="Hyperlink"/>
                <w:rFonts w:eastAsiaTheme="minorHAnsi"/>
                <w:noProof/>
              </w:rPr>
              <w:t>§ 2</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inorHAnsi"/>
                <w:noProof/>
              </w:rPr>
              <w:t>Lovgrundlag</w:t>
            </w:r>
            <w:r>
              <w:rPr>
                <w:noProof/>
                <w:webHidden/>
              </w:rPr>
              <w:tab/>
            </w:r>
            <w:r>
              <w:rPr>
                <w:noProof/>
                <w:webHidden/>
              </w:rPr>
              <w:fldChar w:fldCharType="begin"/>
            </w:r>
            <w:r>
              <w:rPr>
                <w:noProof/>
                <w:webHidden/>
              </w:rPr>
              <w:instrText xml:space="preserve"> PAGEREF _Toc178844964 \h </w:instrText>
            </w:r>
            <w:r>
              <w:rPr>
                <w:noProof/>
                <w:webHidden/>
              </w:rPr>
            </w:r>
            <w:r>
              <w:rPr>
                <w:noProof/>
                <w:webHidden/>
              </w:rPr>
              <w:fldChar w:fldCharType="separate"/>
            </w:r>
            <w:r>
              <w:rPr>
                <w:noProof/>
                <w:webHidden/>
              </w:rPr>
              <w:t>3</w:t>
            </w:r>
            <w:r>
              <w:rPr>
                <w:noProof/>
                <w:webHidden/>
              </w:rPr>
              <w:fldChar w:fldCharType="end"/>
            </w:r>
          </w:hyperlink>
        </w:p>
        <w:p w14:paraId="1AD93718" w14:textId="74A96C20"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65" w:history="1">
            <w:r w:rsidRPr="002A6A82">
              <w:rPr>
                <w:rStyle w:val="Hyperlink"/>
                <w:rFonts w:eastAsiaTheme="minorHAnsi"/>
                <w:noProof/>
              </w:rPr>
              <w:t>§ 3</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inorHAnsi"/>
                <w:noProof/>
              </w:rPr>
              <w:t>Definitioner</w:t>
            </w:r>
            <w:r>
              <w:rPr>
                <w:noProof/>
                <w:webHidden/>
              </w:rPr>
              <w:tab/>
            </w:r>
            <w:r>
              <w:rPr>
                <w:noProof/>
                <w:webHidden/>
              </w:rPr>
              <w:fldChar w:fldCharType="begin"/>
            </w:r>
            <w:r>
              <w:rPr>
                <w:noProof/>
                <w:webHidden/>
              </w:rPr>
              <w:instrText xml:space="preserve"> PAGEREF _Toc178844965 \h </w:instrText>
            </w:r>
            <w:r>
              <w:rPr>
                <w:noProof/>
                <w:webHidden/>
              </w:rPr>
            </w:r>
            <w:r>
              <w:rPr>
                <w:noProof/>
                <w:webHidden/>
              </w:rPr>
              <w:fldChar w:fldCharType="separate"/>
            </w:r>
            <w:r>
              <w:rPr>
                <w:noProof/>
                <w:webHidden/>
              </w:rPr>
              <w:t>3</w:t>
            </w:r>
            <w:r>
              <w:rPr>
                <w:noProof/>
                <w:webHidden/>
              </w:rPr>
              <w:fldChar w:fldCharType="end"/>
            </w:r>
          </w:hyperlink>
        </w:p>
        <w:p w14:paraId="1A2349E5" w14:textId="42E7A046"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66" w:history="1">
            <w:r w:rsidRPr="002A6A82">
              <w:rPr>
                <w:rStyle w:val="Hyperlink"/>
                <w:rFonts w:eastAsiaTheme="minorHAnsi"/>
                <w:noProof/>
              </w:rPr>
              <w:t>§ 4</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inorHAnsi"/>
                <w:noProof/>
              </w:rPr>
              <w:t>Registrering af udenlandske virksomheder</w:t>
            </w:r>
            <w:r>
              <w:rPr>
                <w:noProof/>
                <w:webHidden/>
              </w:rPr>
              <w:tab/>
            </w:r>
            <w:r>
              <w:rPr>
                <w:noProof/>
                <w:webHidden/>
              </w:rPr>
              <w:fldChar w:fldCharType="begin"/>
            </w:r>
            <w:r>
              <w:rPr>
                <w:noProof/>
                <w:webHidden/>
              </w:rPr>
              <w:instrText xml:space="preserve"> PAGEREF _Toc178844966 \h </w:instrText>
            </w:r>
            <w:r>
              <w:rPr>
                <w:noProof/>
                <w:webHidden/>
              </w:rPr>
            </w:r>
            <w:r>
              <w:rPr>
                <w:noProof/>
                <w:webHidden/>
              </w:rPr>
              <w:fldChar w:fldCharType="separate"/>
            </w:r>
            <w:r>
              <w:rPr>
                <w:noProof/>
                <w:webHidden/>
              </w:rPr>
              <w:t>3</w:t>
            </w:r>
            <w:r>
              <w:rPr>
                <w:noProof/>
                <w:webHidden/>
              </w:rPr>
              <w:fldChar w:fldCharType="end"/>
            </w:r>
          </w:hyperlink>
        </w:p>
        <w:p w14:paraId="56D6962E" w14:textId="156DA7C3"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67" w:history="1">
            <w:r w:rsidRPr="002A6A82">
              <w:rPr>
                <w:rStyle w:val="Hyperlink"/>
                <w:rFonts w:eastAsiaTheme="minorHAnsi"/>
                <w:noProof/>
              </w:rPr>
              <w:t>§ 5</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inorHAnsi"/>
                <w:noProof/>
              </w:rPr>
              <w:t>Gebyrer</w:t>
            </w:r>
            <w:r>
              <w:rPr>
                <w:noProof/>
                <w:webHidden/>
              </w:rPr>
              <w:tab/>
            </w:r>
            <w:r>
              <w:rPr>
                <w:noProof/>
                <w:webHidden/>
              </w:rPr>
              <w:fldChar w:fldCharType="begin"/>
            </w:r>
            <w:r>
              <w:rPr>
                <w:noProof/>
                <w:webHidden/>
              </w:rPr>
              <w:instrText xml:space="preserve"> PAGEREF _Toc178844967 \h </w:instrText>
            </w:r>
            <w:r>
              <w:rPr>
                <w:noProof/>
                <w:webHidden/>
              </w:rPr>
            </w:r>
            <w:r>
              <w:rPr>
                <w:noProof/>
                <w:webHidden/>
              </w:rPr>
              <w:fldChar w:fldCharType="separate"/>
            </w:r>
            <w:r>
              <w:rPr>
                <w:noProof/>
                <w:webHidden/>
              </w:rPr>
              <w:t>4</w:t>
            </w:r>
            <w:r>
              <w:rPr>
                <w:noProof/>
                <w:webHidden/>
              </w:rPr>
              <w:fldChar w:fldCharType="end"/>
            </w:r>
          </w:hyperlink>
        </w:p>
        <w:p w14:paraId="014C4133" w14:textId="5C4BFB07"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68" w:history="1">
            <w:r w:rsidRPr="002A6A82">
              <w:rPr>
                <w:rStyle w:val="Hyperlink"/>
                <w:rFonts w:eastAsiaTheme="minorHAnsi"/>
                <w:noProof/>
              </w:rPr>
              <w:t>§ 6</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inorHAnsi"/>
                <w:noProof/>
              </w:rPr>
              <w:t>Klage m.v.</w:t>
            </w:r>
            <w:r>
              <w:rPr>
                <w:noProof/>
                <w:webHidden/>
              </w:rPr>
              <w:tab/>
            </w:r>
            <w:r>
              <w:rPr>
                <w:noProof/>
                <w:webHidden/>
              </w:rPr>
              <w:fldChar w:fldCharType="begin"/>
            </w:r>
            <w:r>
              <w:rPr>
                <w:noProof/>
                <w:webHidden/>
              </w:rPr>
              <w:instrText xml:space="preserve"> PAGEREF _Toc178844968 \h </w:instrText>
            </w:r>
            <w:r>
              <w:rPr>
                <w:noProof/>
                <w:webHidden/>
              </w:rPr>
            </w:r>
            <w:r>
              <w:rPr>
                <w:noProof/>
                <w:webHidden/>
              </w:rPr>
              <w:fldChar w:fldCharType="separate"/>
            </w:r>
            <w:r>
              <w:rPr>
                <w:noProof/>
                <w:webHidden/>
              </w:rPr>
              <w:t>4</w:t>
            </w:r>
            <w:r>
              <w:rPr>
                <w:noProof/>
                <w:webHidden/>
              </w:rPr>
              <w:fldChar w:fldCharType="end"/>
            </w:r>
          </w:hyperlink>
        </w:p>
        <w:p w14:paraId="656DF6E0" w14:textId="6B6E2082"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69" w:history="1">
            <w:r w:rsidRPr="002A6A82">
              <w:rPr>
                <w:rStyle w:val="Hyperlink"/>
                <w:rFonts w:eastAsiaTheme="minorHAnsi"/>
                <w:noProof/>
              </w:rPr>
              <w:t>§ 7</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inorHAnsi"/>
                <w:noProof/>
              </w:rPr>
              <w:t>Overtrædelse og straf</w:t>
            </w:r>
            <w:r>
              <w:rPr>
                <w:noProof/>
                <w:webHidden/>
              </w:rPr>
              <w:tab/>
            </w:r>
            <w:r>
              <w:rPr>
                <w:noProof/>
                <w:webHidden/>
              </w:rPr>
              <w:fldChar w:fldCharType="begin"/>
            </w:r>
            <w:r>
              <w:rPr>
                <w:noProof/>
                <w:webHidden/>
              </w:rPr>
              <w:instrText xml:space="preserve"> PAGEREF _Toc178844969 \h </w:instrText>
            </w:r>
            <w:r>
              <w:rPr>
                <w:noProof/>
                <w:webHidden/>
              </w:rPr>
            </w:r>
            <w:r>
              <w:rPr>
                <w:noProof/>
                <w:webHidden/>
              </w:rPr>
              <w:fldChar w:fldCharType="separate"/>
            </w:r>
            <w:r>
              <w:rPr>
                <w:noProof/>
                <w:webHidden/>
              </w:rPr>
              <w:t>4</w:t>
            </w:r>
            <w:r>
              <w:rPr>
                <w:noProof/>
                <w:webHidden/>
              </w:rPr>
              <w:fldChar w:fldCharType="end"/>
            </w:r>
          </w:hyperlink>
        </w:p>
        <w:p w14:paraId="46A4D5CE" w14:textId="3BBD95B2"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0" w:history="1">
            <w:r w:rsidRPr="002A6A82">
              <w:rPr>
                <w:rStyle w:val="Hyperlink"/>
                <w:rFonts w:eastAsiaTheme="minorHAnsi"/>
                <w:noProof/>
              </w:rPr>
              <w:t>§ 8</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inorHAnsi"/>
                <w:noProof/>
              </w:rPr>
              <w:t>Bemyndigelse</w:t>
            </w:r>
            <w:r>
              <w:rPr>
                <w:noProof/>
                <w:webHidden/>
              </w:rPr>
              <w:tab/>
            </w:r>
            <w:r>
              <w:rPr>
                <w:noProof/>
                <w:webHidden/>
              </w:rPr>
              <w:fldChar w:fldCharType="begin"/>
            </w:r>
            <w:r>
              <w:rPr>
                <w:noProof/>
                <w:webHidden/>
              </w:rPr>
              <w:instrText xml:space="preserve"> PAGEREF _Toc178844970 \h </w:instrText>
            </w:r>
            <w:r>
              <w:rPr>
                <w:noProof/>
                <w:webHidden/>
              </w:rPr>
            </w:r>
            <w:r>
              <w:rPr>
                <w:noProof/>
                <w:webHidden/>
              </w:rPr>
              <w:fldChar w:fldCharType="separate"/>
            </w:r>
            <w:r>
              <w:rPr>
                <w:noProof/>
                <w:webHidden/>
              </w:rPr>
              <w:t>4</w:t>
            </w:r>
            <w:r>
              <w:rPr>
                <w:noProof/>
                <w:webHidden/>
              </w:rPr>
              <w:fldChar w:fldCharType="end"/>
            </w:r>
          </w:hyperlink>
        </w:p>
        <w:p w14:paraId="3CAB0A64" w14:textId="183F6FF9"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1" w:history="1">
            <w:r w:rsidRPr="002A6A82">
              <w:rPr>
                <w:rStyle w:val="Hyperlink"/>
                <w:rFonts w:eastAsiaTheme="minorHAnsi"/>
                <w:noProof/>
              </w:rPr>
              <w:t>§ 9</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inorHAnsi"/>
                <w:noProof/>
              </w:rPr>
              <w:t>Ikrafttrædelse</w:t>
            </w:r>
            <w:r>
              <w:rPr>
                <w:noProof/>
                <w:webHidden/>
              </w:rPr>
              <w:tab/>
            </w:r>
            <w:r>
              <w:rPr>
                <w:noProof/>
                <w:webHidden/>
              </w:rPr>
              <w:fldChar w:fldCharType="begin"/>
            </w:r>
            <w:r>
              <w:rPr>
                <w:noProof/>
                <w:webHidden/>
              </w:rPr>
              <w:instrText xml:space="preserve"> PAGEREF _Toc178844971 \h </w:instrText>
            </w:r>
            <w:r>
              <w:rPr>
                <w:noProof/>
                <w:webHidden/>
              </w:rPr>
            </w:r>
            <w:r>
              <w:rPr>
                <w:noProof/>
                <w:webHidden/>
              </w:rPr>
              <w:fldChar w:fldCharType="separate"/>
            </w:r>
            <w:r>
              <w:rPr>
                <w:noProof/>
                <w:webHidden/>
              </w:rPr>
              <w:t>5</w:t>
            </w:r>
            <w:r>
              <w:rPr>
                <w:noProof/>
                <w:webHidden/>
              </w:rPr>
              <w:fldChar w:fldCharType="end"/>
            </w:r>
          </w:hyperlink>
        </w:p>
        <w:p w14:paraId="08BA6DE8" w14:textId="06DC44FD"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2" w:history="1">
            <w:r w:rsidRPr="002A6A82">
              <w:rPr>
                <w:rStyle w:val="Hyperlink"/>
                <w:rFonts w:eastAsiaTheme="minorHAnsi"/>
                <w:noProof/>
              </w:rPr>
              <w:t>§ 10</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inorHAnsi"/>
                <w:noProof/>
              </w:rPr>
              <w:t>Ordning for husholdningslignende restaffald</w:t>
            </w:r>
            <w:r>
              <w:rPr>
                <w:noProof/>
                <w:webHidden/>
              </w:rPr>
              <w:tab/>
            </w:r>
            <w:r>
              <w:rPr>
                <w:noProof/>
                <w:webHidden/>
              </w:rPr>
              <w:fldChar w:fldCharType="begin"/>
            </w:r>
            <w:r>
              <w:rPr>
                <w:noProof/>
                <w:webHidden/>
              </w:rPr>
              <w:instrText xml:space="preserve"> PAGEREF _Toc178844972 \h </w:instrText>
            </w:r>
            <w:r>
              <w:rPr>
                <w:noProof/>
                <w:webHidden/>
              </w:rPr>
            </w:r>
            <w:r>
              <w:rPr>
                <w:noProof/>
                <w:webHidden/>
              </w:rPr>
              <w:fldChar w:fldCharType="separate"/>
            </w:r>
            <w:r>
              <w:rPr>
                <w:noProof/>
                <w:webHidden/>
              </w:rPr>
              <w:t>6</w:t>
            </w:r>
            <w:r>
              <w:rPr>
                <w:noProof/>
                <w:webHidden/>
              </w:rPr>
              <w:fldChar w:fldCharType="end"/>
            </w:r>
          </w:hyperlink>
        </w:p>
        <w:p w14:paraId="73170D02" w14:textId="5181B6D2"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3" w:history="1">
            <w:r w:rsidRPr="002A6A82">
              <w:rPr>
                <w:rStyle w:val="Hyperlink"/>
                <w:rFonts w:eastAsiaTheme="majorEastAsia"/>
                <w:noProof/>
              </w:rPr>
              <w:t>§ 11</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ajorEastAsia"/>
                <w:noProof/>
              </w:rPr>
              <w:t>Ordning for genbrugspladserne</w:t>
            </w:r>
            <w:r>
              <w:rPr>
                <w:noProof/>
                <w:webHidden/>
              </w:rPr>
              <w:tab/>
            </w:r>
            <w:r>
              <w:rPr>
                <w:noProof/>
                <w:webHidden/>
              </w:rPr>
              <w:fldChar w:fldCharType="begin"/>
            </w:r>
            <w:r>
              <w:rPr>
                <w:noProof/>
                <w:webHidden/>
              </w:rPr>
              <w:instrText xml:space="preserve"> PAGEREF _Toc178844973 \h </w:instrText>
            </w:r>
            <w:r>
              <w:rPr>
                <w:noProof/>
                <w:webHidden/>
              </w:rPr>
            </w:r>
            <w:r>
              <w:rPr>
                <w:noProof/>
                <w:webHidden/>
              </w:rPr>
              <w:fldChar w:fldCharType="separate"/>
            </w:r>
            <w:r>
              <w:rPr>
                <w:noProof/>
                <w:webHidden/>
              </w:rPr>
              <w:t>7</w:t>
            </w:r>
            <w:r>
              <w:rPr>
                <w:noProof/>
                <w:webHidden/>
              </w:rPr>
              <w:fldChar w:fldCharType="end"/>
            </w:r>
          </w:hyperlink>
        </w:p>
        <w:p w14:paraId="565AFA9D" w14:textId="390C7BEB"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4" w:history="1">
            <w:r w:rsidRPr="002A6A82">
              <w:rPr>
                <w:rStyle w:val="Hyperlink"/>
                <w:rFonts w:eastAsiaTheme="majorEastAsia"/>
                <w:noProof/>
              </w:rPr>
              <w:t>§ 12</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ajorEastAsia"/>
                <w:noProof/>
              </w:rPr>
              <w:t>Ordning for ikke-genanvendeligt farligt affald</w:t>
            </w:r>
            <w:r>
              <w:rPr>
                <w:noProof/>
                <w:webHidden/>
              </w:rPr>
              <w:tab/>
            </w:r>
            <w:r>
              <w:rPr>
                <w:noProof/>
                <w:webHidden/>
              </w:rPr>
              <w:fldChar w:fldCharType="begin"/>
            </w:r>
            <w:r>
              <w:rPr>
                <w:noProof/>
                <w:webHidden/>
              </w:rPr>
              <w:instrText xml:space="preserve"> PAGEREF _Toc178844974 \h </w:instrText>
            </w:r>
            <w:r>
              <w:rPr>
                <w:noProof/>
                <w:webHidden/>
              </w:rPr>
            </w:r>
            <w:r>
              <w:rPr>
                <w:noProof/>
                <w:webHidden/>
              </w:rPr>
              <w:fldChar w:fldCharType="separate"/>
            </w:r>
            <w:r>
              <w:rPr>
                <w:noProof/>
                <w:webHidden/>
              </w:rPr>
              <w:t>10</w:t>
            </w:r>
            <w:r>
              <w:rPr>
                <w:noProof/>
                <w:webHidden/>
              </w:rPr>
              <w:fldChar w:fldCharType="end"/>
            </w:r>
          </w:hyperlink>
        </w:p>
        <w:p w14:paraId="7B4D40A8" w14:textId="5296004B"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5" w:history="1">
            <w:r w:rsidRPr="002A6A82">
              <w:rPr>
                <w:rStyle w:val="Hyperlink"/>
                <w:rFonts w:eastAsiaTheme="majorEastAsia"/>
                <w:noProof/>
              </w:rPr>
              <w:t>§ 13</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ajorEastAsia"/>
                <w:noProof/>
              </w:rPr>
              <w:t>Ordning for klinisk risikoaffald</w:t>
            </w:r>
            <w:r>
              <w:rPr>
                <w:noProof/>
                <w:webHidden/>
              </w:rPr>
              <w:tab/>
            </w:r>
            <w:r>
              <w:rPr>
                <w:noProof/>
                <w:webHidden/>
              </w:rPr>
              <w:fldChar w:fldCharType="begin"/>
            </w:r>
            <w:r>
              <w:rPr>
                <w:noProof/>
                <w:webHidden/>
              </w:rPr>
              <w:instrText xml:space="preserve"> PAGEREF _Toc178844975 \h </w:instrText>
            </w:r>
            <w:r>
              <w:rPr>
                <w:noProof/>
                <w:webHidden/>
              </w:rPr>
            </w:r>
            <w:r>
              <w:rPr>
                <w:noProof/>
                <w:webHidden/>
              </w:rPr>
              <w:fldChar w:fldCharType="separate"/>
            </w:r>
            <w:r>
              <w:rPr>
                <w:noProof/>
                <w:webHidden/>
              </w:rPr>
              <w:t>12</w:t>
            </w:r>
            <w:r>
              <w:rPr>
                <w:noProof/>
                <w:webHidden/>
              </w:rPr>
              <w:fldChar w:fldCharType="end"/>
            </w:r>
          </w:hyperlink>
        </w:p>
        <w:p w14:paraId="5DB67540" w14:textId="1A155D2F"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6" w:history="1">
            <w:r w:rsidRPr="002A6A82">
              <w:rPr>
                <w:rStyle w:val="Hyperlink"/>
                <w:rFonts w:eastAsiaTheme="majorEastAsia"/>
                <w:noProof/>
              </w:rPr>
              <w:t>§ 14</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ajorEastAsia"/>
                <w:noProof/>
              </w:rPr>
              <w:t>Ordning for ikke-genanvendeligt PVC-affald</w:t>
            </w:r>
            <w:r>
              <w:rPr>
                <w:noProof/>
                <w:webHidden/>
              </w:rPr>
              <w:tab/>
            </w:r>
            <w:r>
              <w:rPr>
                <w:noProof/>
                <w:webHidden/>
              </w:rPr>
              <w:fldChar w:fldCharType="begin"/>
            </w:r>
            <w:r>
              <w:rPr>
                <w:noProof/>
                <w:webHidden/>
              </w:rPr>
              <w:instrText xml:space="preserve"> PAGEREF _Toc178844976 \h </w:instrText>
            </w:r>
            <w:r>
              <w:rPr>
                <w:noProof/>
                <w:webHidden/>
              </w:rPr>
            </w:r>
            <w:r>
              <w:rPr>
                <w:noProof/>
                <w:webHidden/>
              </w:rPr>
              <w:fldChar w:fldCharType="separate"/>
            </w:r>
            <w:r>
              <w:rPr>
                <w:noProof/>
                <w:webHidden/>
              </w:rPr>
              <w:t>15</w:t>
            </w:r>
            <w:r>
              <w:rPr>
                <w:noProof/>
                <w:webHidden/>
              </w:rPr>
              <w:fldChar w:fldCharType="end"/>
            </w:r>
          </w:hyperlink>
        </w:p>
        <w:p w14:paraId="3BBCFAC8" w14:textId="726830AF"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7" w:history="1">
            <w:r w:rsidRPr="002A6A82">
              <w:rPr>
                <w:rStyle w:val="Hyperlink"/>
                <w:rFonts w:eastAsiaTheme="majorEastAsia"/>
                <w:noProof/>
              </w:rPr>
              <w:t>§ 15</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ajorEastAsia"/>
                <w:noProof/>
              </w:rPr>
              <w:t>Ordning for forbrændingsegnet affald</w:t>
            </w:r>
            <w:r>
              <w:rPr>
                <w:noProof/>
                <w:webHidden/>
              </w:rPr>
              <w:tab/>
            </w:r>
            <w:r>
              <w:rPr>
                <w:noProof/>
                <w:webHidden/>
              </w:rPr>
              <w:fldChar w:fldCharType="begin"/>
            </w:r>
            <w:r>
              <w:rPr>
                <w:noProof/>
                <w:webHidden/>
              </w:rPr>
              <w:instrText xml:space="preserve"> PAGEREF _Toc178844977 \h </w:instrText>
            </w:r>
            <w:r>
              <w:rPr>
                <w:noProof/>
                <w:webHidden/>
              </w:rPr>
            </w:r>
            <w:r>
              <w:rPr>
                <w:noProof/>
                <w:webHidden/>
              </w:rPr>
              <w:fldChar w:fldCharType="separate"/>
            </w:r>
            <w:r>
              <w:rPr>
                <w:noProof/>
                <w:webHidden/>
              </w:rPr>
              <w:t>17</w:t>
            </w:r>
            <w:r>
              <w:rPr>
                <w:noProof/>
                <w:webHidden/>
              </w:rPr>
              <w:fldChar w:fldCharType="end"/>
            </w:r>
          </w:hyperlink>
        </w:p>
        <w:p w14:paraId="5BED9F06" w14:textId="198A79EC"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8" w:history="1">
            <w:r w:rsidRPr="002A6A82">
              <w:rPr>
                <w:rStyle w:val="Hyperlink"/>
                <w:rFonts w:eastAsiaTheme="majorEastAsia"/>
                <w:noProof/>
              </w:rPr>
              <w:t>§ 16</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ajorEastAsia"/>
                <w:noProof/>
              </w:rPr>
              <w:t>Ordning for deponeringsegnet affald</w:t>
            </w:r>
            <w:r>
              <w:rPr>
                <w:noProof/>
                <w:webHidden/>
              </w:rPr>
              <w:tab/>
            </w:r>
            <w:r>
              <w:rPr>
                <w:noProof/>
                <w:webHidden/>
              </w:rPr>
              <w:fldChar w:fldCharType="begin"/>
            </w:r>
            <w:r>
              <w:rPr>
                <w:noProof/>
                <w:webHidden/>
              </w:rPr>
              <w:instrText xml:space="preserve"> PAGEREF _Toc178844978 \h </w:instrText>
            </w:r>
            <w:r>
              <w:rPr>
                <w:noProof/>
                <w:webHidden/>
              </w:rPr>
            </w:r>
            <w:r>
              <w:rPr>
                <w:noProof/>
                <w:webHidden/>
              </w:rPr>
              <w:fldChar w:fldCharType="separate"/>
            </w:r>
            <w:r>
              <w:rPr>
                <w:noProof/>
                <w:webHidden/>
              </w:rPr>
              <w:t>20</w:t>
            </w:r>
            <w:r>
              <w:rPr>
                <w:noProof/>
                <w:webHidden/>
              </w:rPr>
              <w:fldChar w:fldCharType="end"/>
            </w:r>
          </w:hyperlink>
        </w:p>
        <w:p w14:paraId="45FA9740" w14:textId="5E33E9AC"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79" w:history="1">
            <w:r w:rsidRPr="002A6A82">
              <w:rPr>
                <w:rStyle w:val="Hyperlink"/>
                <w:rFonts w:eastAsiaTheme="majorEastAsia"/>
                <w:noProof/>
              </w:rPr>
              <w:t>§ 17</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ajorEastAsia"/>
                <w:noProof/>
              </w:rPr>
              <w:t>Ordning for affald fra olie- og benzinudskillere</w:t>
            </w:r>
            <w:r>
              <w:rPr>
                <w:noProof/>
                <w:webHidden/>
              </w:rPr>
              <w:tab/>
            </w:r>
            <w:r>
              <w:rPr>
                <w:noProof/>
                <w:webHidden/>
              </w:rPr>
              <w:fldChar w:fldCharType="begin"/>
            </w:r>
            <w:r>
              <w:rPr>
                <w:noProof/>
                <w:webHidden/>
              </w:rPr>
              <w:instrText xml:space="preserve"> PAGEREF _Toc178844979 \h </w:instrText>
            </w:r>
            <w:r>
              <w:rPr>
                <w:noProof/>
                <w:webHidden/>
              </w:rPr>
            </w:r>
            <w:r>
              <w:rPr>
                <w:noProof/>
                <w:webHidden/>
              </w:rPr>
              <w:fldChar w:fldCharType="separate"/>
            </w:r>
            <w:r>
              <w:rPr>
                <w:noProof/>
                <w:webHidden/>
              </w:rPr>
              <w:t>23</w:t>
            </w:r>
            <w:r>
              <w:rPr>
                <w:noProof/>
                <w:webHidden/>
              </w:rPr>
              <w:fldChar w:fldCharType="end"/>
            </w:r>
          </w:hyperlink>
        </w:p>
        <w:p w14:paraId="39894592" w14:textId="29062BE8" w:rsidR="0065254A" w:rsidRDefault="0065254A">
          <w:pPr>
            <w:pStyle w:val="Indholdsfortegnelse1"/>
            <w:rPr>
              <w:rFonts w:asciiTheme="minorHAnsi" w:eastAsiaTheme="minorEastAsia" w:hAnsiTheme="minorHAnsi"/>
              <w:b w:val="0"/>
              <w:caps w:val="0"/>
              <w:noProof/>
              <w:kern w:val="2"/>
              <w:sz w:val="24"/>
              <w:szCs w:val="24"/>
              <w:lang w:eastAsia="da-DK"/>
              <w14:ligatures w14:val="standardContextual"/>
            </w:rPr>
          </w:pPr>
          <w:hyperlink w:anchor="_Toc178844980" w:history="1">
            <w:r w:rsidRPr="002A6A82">
              <w:rPr>
                <w:rStyle w:val="Hyperlink"/>
                <w:rFonts w:eastAsiaTheme="majorEastAsia"/>
                <w:noProof/>
              </w:rPr>
              <w:t>§ 18</w:t>
            </w:r>
            <w:r>
              <w:rPr>
                <w:rFonts w:asciiTheme="minorHAnsi" w:eastAsiaTheme="minorEastAsia" w:hAnsiTheme="minorHAnsi"/>
                <w:b w:val="0"/>
                <w:caps w:val="0"/>
                <w:noProof/>
                <w:kern w:val="2"/>
                <w:sz w:val="24"/>
                <w:szCs w:val="24"/>
                <w:lang w:eastAsia="da-DK"/>
                <w14:ligatures w14:val="standardContextual"/>
              </w:rPr>
              <w:tab/>
            </w:r>
            <w:r w:rsidRPr="002A6A82">
              <w:rPr>
                <w:rStyle w:val="Hyperlink"/>
                <w:rFonts w:eastAsiaTheme="majorEastAsia"/>
                <w:noProof/>
              </w:rPr>
              <w:t>Ordning for særskilt indsamlet genanvendeligt affald</w:t>
            </w:r>
            <w:r>
              <w:rPr>
                <w:noProof/>
                <w:webHidden/>
              </w:rPr>
              <w:tab/>
            </w:r>
            <w:r>
              <w:rPr>
                <w:noProof/>
                <w:webHidden/>
              </w:rPr>
              <w:fldChar w:fldCharType="begin"/>
            </w:r>
            <w:r>
              <w:rPr>
                <w:noProof/>
                <w:webHidden/>
              </w:rPr>
              <w:instrText xml:space="preserve"> PAGEREF _Toc178844980 \h </w:instrText>
            </w:r>
            <w:r>
              <w:rPr>
                <w:noProof/>
                <w:webHidden/>
              </w:rPr>
            </w:r>
            <w:r>
              <w:rPr>
                <w:noProof/>
                <w:webHidden/>
              </w:rPr>
              <w:fldChar w:fldCharType="separate"/>
            </w:r>
            <w:r>
              <w:rPr>
                <w:noProof/>
                <w:webHidden/>
              </w:rPr>
              <w:t>25</w:t>
            </w:r>
            <w:r>
              <w:rPr>
                <w:noProof/>
                <w:webHidden/>
              </w:rPr>
              <w:fldChar w:fldCharType="end"/>
            </w:r>
          </w:hyperlink>
        </w:p>
        <w:p w14:paraId="55ECE194" w14:textId="623ECB47" w:rsidR="00A15A05" w:rsidRPr="00DD258A" w:rsidRDefault="00A15A05">
          <w:r w:rsidRPr="00DD258A">
            <w:fldChar w:fldCharType="end"/>
          </w:r>
        </w:p>
      </w:sdtContent>
    </w:sdt>
    <w:p w14:paraId="7B96C606" w14:textId="77777777" w:rsidR="00A15A05" w:rsidRPr="00DD258A" w:rsidRDefault="00A15A05">
      <w:pPr>
        <w:spacing w:after="200"/>
        <w:rPr>
          <w:rFonts w:eastAsia="Times New Roman"/>
          <w:lang w:eastAsia="da-DK"/>
        </w:rPr>
      </w:pPr>
      <w:r w:rsidRPr="00DD258A">
        <w:rPr>
          <w:rFonts w:eastAsia="Times New Roman"/>
          <w:lang w:eastAsia="da-DK"/>
        </w:rPr>
        <w:br w:type="page"/>
      </w:r>
    </w:p>
    <w:p w14:paraId="6237DD86" w14:textId="77777777" w:rsidR="003A3FEA" w:rsidRPr="00DD258A" w:rsidRDefault="003A3FEA" w:rsidP="006611A1">
      <w:pPr>
        <w:pStyle w:val="Overskrift1"/>
        <w:rPr>
          <w:rFonts w:eastAsia="Times New Roman"/>
          <w:lang w:eastAsia="da-DK"/>
        </w:rPr>
      </w:pPr>
      <w:bookmarkStart w:id="0" w:name="_Toc178844963"/>
      <w:r w:rsidRPr="00DD258A">
        <w:rPr>
          <w:rFonts w:eastAsia="Times New Roman"/>
          <w:lang w:eastAsia="da-DK"/>
        </w:rPr>
        <w:lastRenderedPageBreak/>
        <w:t>Formål m.v.</w:t>
      </w:r>
      <w:bookmarkEnd w:id="0"/>
    </w:p>
    <w:p w14:paraId="143A3593" w14:textId="77777777"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 xml:space="preserve">Formålet med dette regulativ er at fastsætte regler for håndtering af affald fra virksomheder i </w:t>
      </w:r>
      <w:r w:rsidR="00FD2861" w:rsidRPr="00DD258A">
        <w:rPr>
          <w:rFonts w:eastAsia="Times New Roman" w:cs="Times New Roman"/>
          <w:szCs w:val="20"/>
          <w:lang w:eastAsia="da-DK"/>
        </w:rPr>
        <w:t>Vordingborg Kommune</w:t>
      </w:r>
      <w:r w:rsidRPr="00DD258A">
        <w:rPr>
          <w:rFonts w:eastAsia="Times New Roman" w:cs="Times New Roman"/>
          <w:szCs w:val="20"/>
          <w:lang w:eastAsia="da-DK"/>
        </w:rPr>
        <w:t xml:space="preserve"> med henblik på at forebygge forurening, uhygiejniske forhold for miljø og mennesker samt begrænse ressourceanvendelsen ved at fremme genanvendelse af affald. Formålet er endvidere efter miljøbeskyttelsesloven at fastsætte regler om de kommunale affaldsordningers omfang og tilrettelæggelse m.v. med henblik på at etablere og skabe rammerne for velfungerende kommunale ordninger, herunder normere de praktiske forhold i forbindelse med afviklingen af affaldsindsamlingen og -håndteringen.</w:t>
      </w:r>
    </w:p>
    <w:p w14:paraId="1825FE5A" w14:textId="4BD8046A" w:rsidR="003A3FE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De beskrevne ordninger i regulativet omfatter ikke kildesorteret erhvervsaffald til materialenyttiggørelse, som er reguleret i affaldsbekendtgørelsen. Hvis en virksomhed benytter den kommunale genbrugsplads, skal bestemmelserne for denne ordning overholdes.</w:t>
      </w:r>
      <w:r w:rsidR="00C91559">
        <w:rPr>
          <w:rFonts w:eastAsia="Times New Roman" w:cs="Times New Roman"/>
          <w:szCs w:val="20"/>
          <w:lang w:eastAsia="da-DK"/>
        </w:rPr>
        <w:t xml:space="preserve"> </w:t>
      </w:r>
      <w:r w:rsidR="00C91559" w:rsidRPr="00C91559">
        <w:rPr>
          <w:rFonts w:eastAsia="Times New Roman" w:cs="Times New Roman"/>
          <w:szCs w:val="20"/>
          <w:lang w:eastAsia="da-DK"/>
        </w:rPr>
        <w:t>Hvis kommunalbestyrelsen har valgt at tilbyde indsamling af erhvervsaffald egnet til materialenyttiggørelse produceret af virksomheder, der producerer affald, der art og mængde svarer til en husholdnings eller indsamling af erhvervsaffald egnet til materialenyttiggørelse produceret på øer uden fast broforbindelse, skal bestemmelserne for ordninger i standardregulativ for husholdninger dog overholdes.</w:t>
      </w:r>
    </w:p>
    <w:p w14:paraId="4B387C22" w14:textId="77777777" w:rsidR="00C91559" w:rsidRPr="00DD258A" w:rsidRDefault="00C91559" w:rsidP="003A3FEA">
      <w:pPr>
        <w:spacing w:after="200"/>
        <w:rPr>
          <w:rFonts w:eastAsia="Times New Roman" w:cs="Times New Roman"/>
          <w:szCs w:val="20"/>
          <w:lang w:eastAsia="da-DK"/>
        </w:rPr>
      </w:pPr>
    </w:p>
    <w:p w14:paraId="049B9425" w14:textId="77777777" w:rsidR="003A3FEA" w:rsidRPr="00DD258A" w:rsidRDefault="003A3FEA" w:rsidP="006611A1">
      <w:pPr>
        <w:pStyle w:val="Overskrift1"/>
        <w:rPr>
          <w:rFonts w:eastAsia="Times New Roman"/>
          <w:lang w:eastAsia="da-DK"/>
        </w:rPr>
      </w:pPr>
      <w:bookmarkStart w:id="1" w:name="_Toc178844964"/>
      <w:r w:rsidRPr="00DD258A">
        <w:rPr>
          <w:rFonts w:eastAsia="Times New Roman"/>
          <w:lang w:eastAsia="da-DK"/>
        </w:rPr>
        <w:t>Lovgrundlag</w:t>
      </w:r>
      <w:bookmarkEnd w:id="1"/>
    </w:p>
    <w:p w14:paraId="5F8F13ED" w14:textId="77777777"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Regulativet er udarbejdet i henhold til gældende miljølovgivning, herunder navnlig:</w:t>
      </w:r>
    </w:p>
    <w:p w14:paraId="0EFC45B0" w14:textId="3F6A6DC6"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Lov om miljøbeskyttelse (miljøbeskyttelsesloven).</w:t>
      </w:r>
    </w:p>
    <w:p w14:paraId="4B40B3AE" w14:textId="4F1139F8" w:rsidR="00C91559" w:rsidRDefault="00C91559" w:rsidP="003A3FEA">
      <w:pPr>
        <w:spacing w:after="200"/>
        <w:rPr>
          <w:rFonts w:eastAsia="Times New Roman" w:cs="Times New Roman"/>
          <w:szCs w:val="20"/>
          <w:lang w:eastAsia="da-DK"/>
        </w:rPr>
      </w:pPr>
      <w:r w:rsidRPr="00C91559">
        <w:rPr>
          <w:rFonts w:eastAsia="Times New Roman" w:cs="Times New Roman"/>
          <w:szCs w:val="20"/>
          <w:lang w:eastAsia="da-DK"/>
        </w:rPr>
        <w:t>Bekendtgørelse om affaldsregulativer, -gebyrer og -aktører m.v. (affaldsaktørbekendtgørelsen).</w:t>
      </w:r>
    </w:p>
    <w:p w14:paraId="7F0A3B90" w14:textId="5150DEDF"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Bekendtgørelse om affald (affaldsbekendtgørelsen).</w:t>
      </w:r>
    </w:p>
    <w:p w14:paraId="469C0038" w14:textId="1413D7C8"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 xml:space="preserve">Bekendtgørelse om </w:t>
      </w:r>
      <w:r w:rsidR="00C91559">
        <w:rPr>
          <w:rFonts w:eastAsia="Times New Roman" w:cs="Times New Roman"/>
          <w:szCs w:val="20"/>
          <w:lang w:eastAsia="da-DK"/>
        </w:rPr>
        <w:t>at bringe</w:t>
      </w:r>
      <w:r w:rsidRPr="00DD258A">
        <w:rPr>
          <w:rFonts w:eastAsia="Times New Roman" w:cs="Times New Roman"/>
          <w:szCs w:val="20"/>
          <w:lang w:eastAsia="da-DK"/>
        </w:rPr>
        <w:t xml:space="preserve"> elektrisk og elektronisk udstyr</w:t>
      </w:r>
      <w:r w:rsidR="00C91559">
        <w:rPr>
          <w:rFonts w:eastAsia="Times New Roman" w:cs="Times New Roman"/>
          <w:szCs w:val="20"/>
          <w:lang w:eastAsia="da-DK"/>
        </w:rPr>
        <w:t xml:space="preserve"> i omsætning</w:t>
      </w:r>
      <w:r w:rsidRPr="00DD258A">
        <w:rPr>
          <w:rFonts w:eastAsia="Times New Roman" w:cs="Times New Roman"/>
          <w:szCs w:val="20"/>
          <w:lang w:eastAsia="da-DK"/>
        </w:rPr>
        <w:t xml:space="preserve"> samt håndtering af affald af elektrisk og elektronisk udstyr (elektronikaffaldsbekendtgørelsen).</w:t>
      </w:r>
    </w:p>
    <w:p w14:paraId="69C13663" w14:textId="38877EF0"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Bekendtgørelse om batterier og akkumulatorer og udtjente batterier og akkumulatorer (batteribekendtgørelsen).</w:t>
      </w:r>
    </w:p>
    <w:p w14:paraId="3B7937D1" w14:textId="76BAF314" w:rsidR="00713BDF"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Bekendtgørelse om deponeringsanlæg (deponeringsbekendtgørelsen).</w:t>
      </w:r>
    </w:p>
    <w:p w14:paraId="0CED0E27" w14:textId="77777777" w:rsidR="003A3FEA" w:rsidRPr="00DD258A" w:rsidRDefault="003A3FEA" w:rsidP="006611A1">
      <w:pPr>
        <w:pStyle w:val="Overskrift1"/>
        <w:rPr>
          <w:rFonts w:eastAsia="Times New Roman"/>
          <w:lang w:eastAsia="da-DK"/>
        </w:rPr>
      </w:pPr>
      <w:bookmarkStart w:id="2" w:name="_Toc178844965"/>
      <w:r w:rsidRPr="00DD258A">
        <w:rPr>
          <w:rFonts w:eastAsia="Times New Roman"/>
          <w:lang w:eastAsia="da-DK"/>
        </w:rPr>
        <w:t>Definitioner</w:t>
      </w:r>
      <w:bookmarkEnd w:id="2"/>
    </w:p>
    <w:p w14:paraId="7D44956D" w14:textId="2257CA4B"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De definitioner, der anvendes i dette regulativ, svarer til de definitioner, der fremgår af de</w:t>
      </w:r>
      <w:r w:rsidR="00C91559">
        <w:rPr>
          <w:rFonts w:eastAsia="Times New Roman" w:cs="Times New Roman"/>
          <w:szCs w:val="20"/>
          <w:lang w:eastAsia="da-DK"/>
        </w:rPr>
        <w:t>t</w:t>
      </w:r>
      <w:r w:rsidRPr="00DD258A">
        <w:rPr>
          <w:rFonts w:eastAsia="Times New Roman" w:cs="Times New Roman"/>
          <w:szCs w:val="20"/>
          <w:lang w:eastAsia="da-DK"/>
        </w:rPr>
        <w:t xml:space="preserve"> til enhver tid gældende </w:t>
      </w:r>
      <w:r w:rsidR="00C91559">
        <w:rPr>
          <w:rFonts w:eastAsia="Times New Roman" w:cs="Times New Roman"/>
          <w:szCs w:val="20"/>
          <w:lang w:eastAsia="da-DK"/>
        </w:rPr>
        <w:t>lovgrundlag</w:t>
      </w:r>
      <w:r w:rsidRPr="00DD258A">
        <w:rPr>
          <w:rFonts w:eastAsia="Times New Roman" w:cs="Times New Roman"/>
          <w:szCs w:val="20"/>
          <w:lang w:eastAsia="da-DK"/>
        </w:rPr>
        <w:t>.</w:t>
      </w:r>
    </w:p>
    <w:p w14:paraId="4B257DB1" w14:textId="77777777" w:rsidR="003A3FEA" w:rsidRPr="00DD258A" w:rsidRDefault="003A3FEA" w:rsidP="006611A1">
      <w:pPr>
        <w:pStyle w:val="Overskrift1"/>
        <w:rPr>
          <w:rFonts w:eastAsia="Times New Roman"/>
          <w:lang w:eastAsia="da-DK"/>
        </w:rPr>
      </w:pPr>
      <w:bookmarkStart w:id="3" w:name="_Toc178844966"/>
      <w:r w:rsidRPr="00DD258A">
        <w:rPr>
          <w:rFonts w:eastAsia="Times New Roman"/>
          <w:lang w:eastAsia="da-DK"/>
        </w:rPr>
        <w:t>Registrering af udenlandske virksomheder</w:t>
      </w:r>
      <w:bookmarkEnd w:id="3"/>
    </w:p>
    <w:p w14:paraId="7853DC51" w14:textId="77777777"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Udenlandske virksomheder uden fast adresse i Danmark, der udøver affaldsproducerende aktiviteter, skal lade sig registrere hos kommunalbestyrelsen med henblik på opkrævning af affaldsgebyr m.v.</w:t>
      </w:r>
    </w:p>
    <w:p w14:paraId="44381AA5" w14:textId="77777777" w:rsidR="003A3FEA" w:rsidRPr="00DD258A" w:rsidRDefault="003A3FEA" w:rsidP="006611A1">
      <w:pPr>
        <w:pStyle w:val="Overskrift1"/>
        <w:rPr>
          <w:rFonts w:eastAsia="Times New Roman"/>
          <w:lang w:eastAsia="da-DK"/>
        </w:rPr>
      </w:pPr>
      <w:bookmarkStart w:id="4" w:name="_Toc178844967"/>
      <w:r w:rsidRPr="00DD258A">
        <w:rPr>
          <w:rFonts w:eastAsia="Times New Roman"/>
          <w:lang w:eastAsia="da-DK"/>
        </w:rPr>
        <w:lastRenderedPageBreak/>
        <w:t>Gebyrer</w:t>
      </w:r>
      <w:bookmarkEnd w:id="4"/>
    </w:p>
    <w:p w14:paraId="3762F24D" w14:textId="77777777"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Kommunalbestyrelsen fastsætter gebyrer i henhold til miljøbeskyttelsesloven samt affaldsbekendtgørelsen.</w:t>
      </w:r>
    </w:p>
    <w:p w14:paraId="69F63CF3" w14:textId="77777777"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 xml:space="preserve">Kommunalbestyrelsen vedtager efter affaldsbekendtgørelsen én gang årligt et gebyrblad, der angiver størrelsen på ovennævnte gebyrer. Gebyrbladet er tilgængeligt på </w:t>
      </w:r>
      <w:r w:rsidR="00FD2861" w:rsidRPr="00DD258A">
        <w:rPr>
          <w:rFonts w:eastAsia="Times New Roman" w:cs="Times New Roman"/>
          <w:szCs w:val="20"/>
          <w:lang w:eastAsia="da-DK"/>
        </w:rPr>
        <w:t>Vordingborg Kommune</w:t>
      </w:r>
      <w:r w:rsidRPr="00DD258A">
        <w:rPr>
          <w:rFonts w:eastAsia="Times New Roman" w:cs="Times New Roman"/>
          <w:szCs w:val="20"/>
          <w:lang w:eastAsia="da-DK"/>
        </w:rPr>
        <w:t>s hjemmeside.</w:t>
      </w:r>
    </w:p>
    <w:p w14:paraId="268D3356" w14:textId="77777777" w:rsidR="003A3FEA" w:rsidRPr="00DD258A" w:rsidRDefault="003A3FEA" w:rsidP="006611A1">
      <w:pPr>
        <w:pStyle w:val="Overskrift1"/>
        <w:rPr>
          <w:rFonts w:eastAsia="Times New Roman"/>
          <w:lang w:eastAsia="da-DK"/>
        </w:rPr>
      </w:pPr>
      <w:bookmarkStart w:id="5" w:name="_Toc178844968"/>
      <w:r w:rsidRPr="00DD258A">
        <w:rPr>
          <w:rFonts w:eastAsia="Times New Roman"/>
          <w:lang w:eastAsia="da-DK"/>
        </w:rPr>
        <w:t>Klage m.v.</w:t>
      </w:r>
      <w:bookmarkEnd w:id="5"/>
    </w:p>
    <w:p w14:paraId="11F723CA" w14:textId="77777777"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Kommunalbestyrelsens afgørelser i henhold til regulativet kan efter affaldsbekendtgørelsen ikke indbringes for anden administrativ myndighed. Indskærpelser af regulativet efter miljøbeskyttelsesloven kan ikke påklages til anden administrativ myndighed.</w:t>
      </w:r>
    </w:p>
    <w:p w14:paraId="5124C30A" w14:textId="77777777"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Afgørelser efter miljøbeskyttelsesloven kan efter miljøbeskyttelsesloven, medmindre andet fremgår af lovens bestemmelser, påklages til Natur- og Miljøklagenævnet.</w:t>
      </w:r>
    </w:p>
    <w:p w14:paraId="646A8902" w14:textId="77777777" w:rsidR="00357C62" w:rsidRPr="00357C62" w:rsidRDefault="00357C62" w:rsidP="00357C62">
      <w:pPr>
        <w:spacing w:after="200"/>
        <w:rPr>
          <w:rFonts w:eastAsia="Times New Roman" w:cs="Times New Roman"/>
          <w:szCs w:val="20"/>
          <w:lang w:eastAsia="da-DK"/>
        </w:rPr>
      </w:pPr>
      <w:r w:rsidRPr="00357C62">
        <w:rPr>
          <w:rFonts w:eastAsia="Times New Roman" w:cs="Times New Roman"/>
          <w:szCs w:val="20"/>
          <w:lang w:eastAsia="da-DK"/>
        </w:rPr>
        <w:t>Ankestyrelsen kan som led i det kommunale og regionale tilsyn behandle spørgsmål om, hvorvidt kommunen overholder den lovgivning, der særligt gælder for offentlige myndigheder, herunder kommunale forskrifter, der er udstedt i medfør af dette regulativ. Ankestyrelsen fører ikke tilsyn, idet omfang særlige klage- eller tilsynsmyndigheder kan tage stilling til den pågældende sag. Ankestyrelsen beslutter selv, om der er tilstrækkelig anledning til at rejse en tilsynssag.</w:t>
      </w:r>
    </w:p>
    <w:p w14:paraId="28558980" w14:textId="7AC3217E" w:rsidR="00357C62" w:rsidRDefault="00357C62" w:rsidP="003A3FEA">
      <w:pPr>
        <w:spacing w:after="200"/>
        <w:rPr>
          <w:rFonts w:eastAsia="Times New Roman" w:cs="Times New Roman"/>
          <w:szCs w:val="20"/>
          <w:lang w:eastAsia="da-DK"/>
        </w:rPr>
      </w:pPr>
      <w:r w:rsidRPr="00357C62">
        <w:rPr>
          <w:rFonts w:eastAsia="Times New Roman" w:cs="Times New Roman"/>
          <w:szCs w:val="20"/>
          <w:lang w:eastAsia="da-DK"/>
        </w:rPr>
        <w:t>Forsyningstilsynet kan behandle spørgsmål om, hvorvidt kommunalbestyrelsen fastsætter og opkræver en pris svarende til markedsprisen for kommunal indsamling af erhvervsaffald i henhold til miljøbeskyttelsesloven og affaldsaktørbekendtgørelsen.</w:t>
      </w:r>
    </w:p>
    <w:p w14:paraId="6905F09E" w14:textId="77777777" w:rsidR="003A3FEA" w:rsidRPr="00DD258A" w:rsidRDefault="003A3FEA" w:rsidP="006611A1">
      <w:pPr>
        <w:pStyle w:val="Overskrift1"/>
        <w:rPr>
          <w:rFonts w:eastAsia="Times New Roman"/>
          <w:lang w:eastAsia="da-DK"/>
        </w:rPr>
      </w:pPr>
      <w:bookmarkStart w:id="6" w:name="_Toc178844969"/>
      <w:r w:rsidRPr="00DD258A">
        <w:rPr>
          <w:rFonts w:eastAsia="Times New Roman"/>
          <w:lang w:eastAsia="da-DK"/>
        </w:rPr>
        <w:t>Overtrædelse og straf</w:t>
      </w:r>
      <w:bookmarkEnd w:id="6"/>
    </w:p>
    <w:p w14:paraId="23ECBECF" w14:textId="1EE642C2"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Overtrædelse af regulativet straffes efter affalds</w:t>
      </w:r>
      <w:r w:rsidR="00357C62">
        <w:rPr>
          <w:rFonts w:eastAsia="Times New Roman" w:cs="Times New Roman"/>
          <w:szCs w:val="20"/>
          <w:lang w:eastAsia="da-DK"/>
        </w:rPr>
        <w:t>aktør</w:t>
      </w:r>
      <w:r w:rsidRPr="00DD258A">
        <w:rPr>
          <w:rFonts w:eastAsia="Times New Roman" w:cs="Times New Roman"/>
          <w:szCs w:val="20"/>
          <w:lang w:eastAsia="da-DK"/>
        </w:rPr>
        <w:t>bekendtgørelsen med bøde.</w:t>
      </w:r>
    </w:p>
    <w:p w14:paraId="4C60C3C5" w14:textId="18490DCF"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Efter affalds</w:t>
      </w:r>
      <w:r w:rsidR="00357C62">
        <w:rPr>
          <w:rFonts w:eastAsia="Times New Roman" w:cs="Times New Roman"/>
          <w:szCs w:val="20"/>
          <w:lang w:eastAsia="da-DK"/>
        </w:rPr>
        <w:t>aktør</w:t>
      </w:r>
      <w:r w:rsidRPr="00DD258A">
        <w:rPr>
          <w:rFonts w:eastAsia="Times New Roman" w:cs="Times New Roman"/>
          <w:szCs w:val="20"/>
          <w:lang w:eastAsia="da-DK"/>
        </w:rPr>
        <w:t>bekendtgørelsen kan straffen stige til fængsel i indtil 2 år, hvis overtrædelsen er begået forsætligt eller ved grov uagtsomhed, og hvis der ved overtrædelsen er:</w:t>
      </w:r>
    </w:p>
    <w:p w14:paraId="37433BBA" w14:textId="77777777"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1. voldt skade på miljøet eller fremkaldt fare herfor, eller</w:t>
      </w:r>
      <w:r w:rsidRPr="00DD258A">
        <w:rPr>
          <w:rFonts w:eastAsia="Times New Roman" w:cs="Times New Roman"/>
          <w:szCs w:val="20"/>
          <w:lang w:eastAsia="da-DK"/>
        </w:rPr>
        <w:br/>
        <w:t>2. opnået eller tilsigtet en økonomisk fordel for den pågældende selv eller andre, herunder ved besparelser.</w:t>
      </w:r>
    </w:p>
    <w:p w14:paraId="29571C46" w14:textId="372BA872"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Der kan efter affalds</w:t>
      </w:r>
      <w:r w:rsidR="00357C62">
        <w:rPr>
          <w:rFonts w:eastAsia="Times New Roman" w:cs="Times New Roman"/>
          <w:szCs w:val="20"/>
          <w:lang w:eastAsia="da-DK"/>
        </w:rPr>
        <w:t>aktør</w:t>
      </w:r>
      <w:r w:rsidRPr="00DD258A">
        <w:rPr>
          <w:rFonts w:eastAsia="Times New Roman" w:cs="Times New Roman"/>
          <w:szCs w:val="20"/>
          <w:lang w:eastAsia="da-DK"/>
        </w:rPr>
        <w:t>bekendtgørelsen pålægges selskaber m.v. (juridiske personer) strafansvar efter reglerne i straffeloven.</w:t>
      </w:r>
    </w:p>
    <w:p w14:paraId="0DE46AC5" w14:textId="77777777" w:rsidR="003A3FEA" w:rsidRPr="00DD258A" w:rsidRDefault="003A3FEA" w:rsidP="006611A1">
      <w:pPr>
        <w:pStyle w:val="Overskrift1"/>
        <w:rPr>
          <w:rFonts w:eastAsia="Times New Roman"/>
          <w:lang w:eastAsia="da-DK"/>
        </w:rPr>
      </w:pPr>
      <w:bookmarkStart w:id="7" w:name="_Toc178844970"/>
      <w:r w:rsidRPr="00DD258A">
        <w:rPr>
          <w:rFonts w:eastAsia="Times New Roman"/>
          <w:lang w:eastAsia="da-DK"/>
        </w:rPr>
        <w:t>Bemyndigelse</w:t>
      </w:r>
      <w:bookmarkEnd w:id="7"/>
    </w:p>
    <w:p w14:paraId="0EE0CA08" w14:textId="33207EC7" w:rsidR="003A3FEA" w:rsidRPr="00DD258A" w:rsidRDefault="00FD2861" w:rsidP="003A3FEA">
      <w:pPr>
        <w:spacing w:after="200"/>
        <w:rPr>
          <w:rFonts w:eastAsia="Times New Roman" w:cs="Times New Roman"/>
          <w:szCs w:val="20"/>
          <w:lang w:eastAsia="da-DK"/>
        </w:rPr>
      </w:pPr>
      <w:r w:rsidRPr="00DD258A">
        <w:rPr>
          <w:rFonts w:eastAsia="Times New Roman" w:cs="Times New Roman"/>
          <w:szCs w:val="20"/>
          <w:lang w:eastAsia="da-DK"/>
        </w:rPr>
        <w:t xml:space="preserve">Kommunalbestyrelsen og Udvalget for Klima og </w:t>
      </w:r>
      <w:r w:rsidR="00357C62">
        <w:rPr>
          <w:rFonts w:eastAsia="Times New Roman" w:cs="Times New Roman"/>
          <w:szCs w:val="20"/>
          <w:lang w:eastAsia="da-DK"/>
        </w:rPr>
        <w:t>Teknik</w:t>
      </w:r>
      <w:r w:rsidR="003A3FEA" w:rsidRPr="00DD258A">
        <w:rPr>
          <w:rFonts w:eastAsia="Times New Roman" w:cs="Times New Roman"/>
          <w:szCs w:val="20"/>
          <w:lang w:eastAsia="da-DK"/>
        </w:rPr>
        <w:t xml:space="preserve"> har bemyndiget </w:t>
      </w:r>
      <w:r w:rsidRPr="00DD258A">
        <w:rPr>
          <w:rFonts w:eastAsia="Times New Roman" w:cs="Times New Roman"/>
          <w:szCs w:val="20"/>
          <w:lang w:eastAsia="da-DK"/>
        </w:rPr>
        <w:t xml:space="preserve">Afdelingen for </w:t>
      </w:r>
      <w:r w:rsidR="00357C62">
        <w:rPr>
          <w:rFonts w:eastAsia="Times New Roman" w:cs="Times New Roman"/>
          <w:szCs w:val="20"/>
          <w:lang w:eastAsia="da-DK"/>
        </w:rPr>
        <w:t>Vej</w:t>
      </w:r>
      <w:r w:rsidRPr="00DD258A">
        <w:rPr>
          <w:rFonts w:eastAsia="Times New Roman" w:cs="Times New Roman"/>
          <w:szCs w:val="20"/>
          <w:lang w:eastAsia="da-DK"/>
        </w:rPr>
        <w:t xml:space="preserve">, </w:t>
      </w:r>
      <w:r w:rsidR="00357C62">
        <w:rPr>
          <w:rFonts w:eastAsia="Times New Roman" w:cs="Times New Roman"/>
          <w:szCs w:val="20"/>
          <w:lang w:eastAsia="da-DK"/>
        </w:rPr>
        <w:t>Natur</w:t>
      </w:r>
      <w:r w:rsidRPr="00DD258A">
        <w:rPr>
          <w:rFonts w:eastAsia="Times New Roman" w:cs="Times New Roman"/>
          <w:szCs w:val="20"/>
          <w:lang w:eastAsia="da-DK"/>
        </w:rPr>
        <w:t xml:space="preserve"> og Miljø</w:t>
      </w:r>
      <w:r w:rsidR="003A3FEA" w:rsidRPr="00DD258A">
        <w:rPr>
          <w:rFonts w:eastAsia="Times New Roman" w:cs="Times New Roman"/>
          <w:szCs w:val="20"/>
          <w:lang w:eastAsia="da-DK"/>
        </w:rPr>
        <w:t xml:space="preserve"> til:</w:t>
      </w:r>
    </w:p>
    <w:p w14:paraId="60B34CCD" w14:textId="77777777" w:rsidR="003A3FEA" w:rsidRPr="00DD258A" w:rsidRDefault="003A3FEA" w:rsidP="00B14778">
      <w:pPr>
        <w:spacing w:after="200"/>
        <w:ind w:left="709" w:hanging="142"/>
        <w:rPr>
          <w:rFonts w:eastAsia="Times New Roman" w:cs="Times New Roman"/>
          <w:szCs w:val="20"/>
          <w:lang w:eastAsia="da-DK"/>
        </w:rPr>
      </w:pPr>
      <w:r w:rsidRPr="00DD258A">
        <w:rPr>
          <w:rFonts w:eastAsia="Times New Roman" w:cs="Times New Roman"/>
          <w:szCs w:val="20"/>
          <w:lang w:eastAsia="da-DK"/>
        </w:rPr>
        <w:t>• at træffe myndighedsafgørelse efter dette regulativ</w:t>
      </w:r>
    </w:p>
    <w:p w14:paraId="599641A4" w14:textId="77777777" w:rsidR="003A3FEA" w:rsidRPr="00DD258A" w:rsidRDefault="003A3FEA" w:rsidP="00B14778">
      <w:pPr>
        <w:spacing w:after="200"/>
        <w:ind w:left="709" w:hanging="142"/>
        <w:rPr>
          <w:rFonts w:eastAsia="Times New Roman" w:cs="Times New Roman"/>
          <w:szCs w:val="20"/>
          <w:lang w:eastAsia="da-DK"/>
        </w:rPr>
      </w:pPr>
      <w:r w:rsidRPr="00DD258A">
        <w:rPr>
          <w:rFonts w:eastAsia="Times New Roman" w:cs="Times New Roman"/>
          <w:szCs w:val="20"/>
          <w:lang w:eastAsia="da-DK"/>
        </w:rPr>
        <w:lastRenderedPageBreak/>
        <w:t>• at foretage tekniske og redaktionelle ændringer i regulativet og udarbejde anmeldeskemaer, modtageanlægslister og procedurer</w:t>
      </w:r>
    </w:p>
    <w:p w14:paraId="7461235E" w14:textId="77777777" w:rsidR="003A3FEA" w:rsidRPr="00DD258A" w:rsidRDefault="003A3FEA" w:rsidP="006611A1">
      <w:pPr>
        <w:pStyle w:val="Overskrift1"/>
        <w:rPr>
          <w:rFonts w:eastAsia="Times New Roman"/>
          <w:lang w:eastAsia="da-DK"/>
        </w:rPr>
      </w:pPr>
      <w:bookmarkStart w:id="8" w:name="_Toc178844971"/>
      <w:r w:rsidRPr="00DD258A">
        <w:rPr>
          <w:rFonts w:eastAsia="Times New Roman"/>
          <w:lang w:eastAsia="da-DK"/>
        </w:rPr>
        <w:t>Ikrafttrædelse</w:t>
      </w:r>
      <w:bookmarkEnd w:id="8"/>
    </w:p>
    <w:p w14:paraId="4D96B17A" w14:textId="730ACF5D"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Dette regulativ træder i kraft den 1.</w:t>
      </w:r>
      <w:r w:rsidR="008E6D3D">
        <w:rPr>
          <w:rFonts w:eastAsia="Times New Roman" w:cs="Times New Roman"/>
          <w:szCs w:val="20"/>
          <w:lang w:eastAsia="da-DK"/>
        </w:rPr>
        <w:t>marts</w:t>
      </w:r>
      <w:r w:rsidRPr="00DD258A">
        <w:rPr>
          <w:rFonts w:eastAsia="Times New Roman" w:cs="Times New Roman"/>
          <w:szCs w:val="20"/>
          <w:lang w:eastAsia="da-DK"/>
        </w:rPr>
        <w:t xml:space="preserve"> 20</w:t>
      </w:r>
      <w:r w:rsidR="00357C62">
        <w:rPr>
          <w:rFonts w:eastAsia="Times New Roman" w:cs="Times New Roman"/>
          <w:szCs w:val="20"/>
          <w:lang w:eastAsia="da-DK"/>
        </w:rPr>
        <w:t>25</w:t>
      </w:r>
      <w:r w:rsidRPr="00DD258A">
        <w:rPr>
          <w:rFonts w:eastAsia="Times New Roman" w:cs="Times New Roman"/>
          <w:szCs w:val="20"/>
          <w:lang w:eastAsia="da-DK"/>
        </w:rPr>
        <w:t>.</w:t>
      </w:r>
    </w:p>
    <w:p w14:paraId="2923778E" w14:textId="77777777"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Samtidig med ikrafttrædelsen af dette regulativ ophæves følgende:</w:t>
      </w:r>
    </w:p>
    <w:p w14:paraId="50AE3B15" w14:textId="04A4FFB3" w:rsidR="003A3FEA" w:rsidRPr="00DD258A" w:rsidRDefault="00FD2861" w:rsidP="003A3FEA">
      <w:pPr>
        <w:spacing w:after="200"/>
        <w:rPr>
          <w:rFonts w:eastAsia="Times New Roman" w:cs="Times New Roman"/>
          <w:szCs w:val="20"/>
          <w:lang w:eastAsia="da-DK"/>
        </w:rPr>
      </w:pPr>
      <w:r w:rsidRPr="00DD258A">
        <w:rPr>
          <w:rFonts w:eastAsia="Times New Roman" w:cs="Times New Roman"/>
          <w:szCs w:val="20"/>
          <w:lang w:eastAsia="da-DK"/>
        </w:rPr>
        <w:t>Vordingborg</w:t>
      </w:r>
      <w:r w:rsidR="003A3FEA" w:rsidRPr="00DD258A">
        <w:rPr>
          <w:rFonts w:eastAsia="Times New Roman" w:cs="Times New Roman"/>
          <w:szCs w:val="20"/>
          <w:lang w:eastAsia="da-DK"/>
        </w:rPr>
        <w:t xml:space="preserve"> Kommunes regulativ for erhvervsaffald </w:t>
      </w:r>
      <w:r w:rsidR="00124755" w:rsidRPr="00DD258A">
        <w:rPr>
          <w:rFonts w:eastAsia="Times New Roman" w:cs="Times New Roman"/>
          <w:szCs w:val="20"/>
          <w:lang w:eastAsia="da-DK"/>
        </w:rPr>
        <w:t xml:space="preserve">af 1. </w:t>
      </w:r>
      <w:r w:rsidR="00357C62">
        <w:rPr>
          <w:rFonts w:eastAsia="Times New Roman" w:cs="Times New Roman"/>
          <w:szCs w:val="20"/>
          <w:lang w:eastAsia="da-DK"/>
        </w:rPr>
        <w:t>oktober</w:t>
      </w:r>
      <w:r w:rsidR="00124755" w:rsidRPr="00DD258A">
        <w:rPr>
          <w:rFonts w:eastAsia="Times New Roman" w:cs="Times New Roman"/>
          <w:szCs w:val="20"/>
          <w:lang w:eastAsia="da-DK"/>
        </w:rPr>
        <w:t xml:space="preserve"> </w:t>
      </w:r>
      <w:r w:rsidR="003A3FEA" w:rsidRPr="00DD258A">
        <w:rPr>
          <w:rFonts w:eastAsia="Times New Roman" w:cs="Times New Roman"/>
          <w:szCs w:val="20"/>
          <w:lang w:eastAsia="da-DK"/>
        </w:rPr>
        <w:t>20</w:t>
      </w:r>
      <w:r w:rsidR="00357C62">
        <w:rPr>
          <w:rFonts w:eastAsia="Times New Roman" w:cs="Times New Roman"/>
          <w:szCs w:val="20"/>
          <w:lang w:eastAsia="da-DK"/>
        </w:rPr>
        <w:t>18</w:t>
      </w:r>
    </w:p>
    <w:p w14:paraId="471D6CD2" w14:textId="08EA1A8C" w:rsidR="003A3FEA" w:rsidRPr="00DD258A" w:rsidRDefault="003A3FEA" w:rsidP="003A3FEA">
      <w:pPr>
        <w:spacing w:after="200"/>
        <w:rPr>
          <w:rFonts w:eastAsia="Times New Roman" w:cs="Times New Roman"/>
          <w:szCs w:val="20"/>
          <w:lang w:eastAsia="da-DK"/>
        </w:rPr>
      </w:pPr>
      <w:r w:rsidRPr="00DD258A">
        <w:rPr>
          <w:rFonts w:eastAsia="Times New Roman" w:cs="Times New Roman"/>
          <w:szCs w:val="20"/>
          <w:lang w:eastAsia="da-DK"/>
        </w:rPr>
        <w:t xml:space="preserve">Således vedtaget af </w:t>
      </w:r>
      <w:r w:rsidR="00137764" w:rsidRPr="00DD258A">
        <w:rPr>
          <w:rFonts w:eastAsia="Times New Roman" w:cs="Times New Roman"/>
          <w:szCs w:val="20"/>
          <w:lang w:eastAsia="da-DK"/>
        </w:rPr>
        <w:t>Kommunalbestyrelsen</w:t>
      </w:r>
      <w:r w:rsidRPr="00DD258A">
        <w:rPr>
          <w:rFonts w:eastAsia="Times New Roman" w:cs="Times New Roman"/>
          <w:szCs w:val="20"/>
          <w:lang w:eastAsia="da-DK"/>
        </w:rPr>
        <w:t xml:space="preserve"> den </w:t>
      </w:r>
      <w:r w:rsidR="00B10CCA">
        <w:rPr>
          <w:rFonts w:eastAsia="Times New Roman" w:cs="Times New Roman"/>
          <w:szCs w:val="20"/>
          <w:lang w:eastAsia="da-DK"/>
        </w:rPr>
        <w:t>26. februar</w:t>
      </w:r>
      <w:r w:rsidR="001F7737" w:rsidRPr="00DD258A">
        <w:rPr>
          <w:rFonts w:eastAsia="Times New Roman" w:cs="Times New Roman"/>
          <w:szCs w:val="20"/>
          <w:lang w:eastAsia="da-DK"/>
        </w:rPr>
        <w:t xml:space="preserve"> 20</w:t>
      </w:r>
      <w:r w:rsidR="00357C62">
        <w:rPr>
          <w:rFonts w:eastAsia="Times New Roman" w:cs="Times New Roman"/>
          <w:szCs w:val="20"/>
          <w:lang w:eastAsia="da-DK"/>
        </w:rPr>
        <w:t>2</w:t>
      </w:r>
      <w:r w:rsidR="008E6D3D">
        <w:rPr>
          <w:rFonts w:eastAsia="Times New Roman" w:cs="Times New Roman"/>
          <w:szCs w:val="20"/>
          <w:lang w:eastAsia="da-DK"/>
        </w:rPr>
        <w:t>5</w:t>
      </w:r>
    </w:p>
    <w:p w14:paraId="4EE4861C" w14:textId="23D8B638" w:rsidR="003A3FEA" w:rsidRPr="00DD258A" w:rsidRDefault="00DD258A">
      <w:pPr>
        <w:spacing w:after="200"/>
        <w:rPr>
          <w:rFonts w:eastAsia="Times New Roman" w:cs="Times New Roman"/>
          <w:szCs w:val="20"/>
          <w:lang w:eastAsia="da-DK"/>
        </w:rPr>
      </w:pPr>
      <w:r w:rsidRPr="00DD258A">
        <w:rPr>
          <w:rFonts w:eastAsia="Times New Roman" w:cs="Times New Roman"/>
          <w:szCs w:val="20"/>
          <w:lang w:eastAsia="da-DK"/>
        </w:rPr>
        <w:t>Mik</w:t>
      </w:r>
      <w:r w:rsidR="001F7737" w:rsidRPr="00DD258A">
        <w:rPr>
          <w:rFonts w:eastAsia="Times New Roman" w:cs="Times New Roman"/>
          <w:szCs w:val="20"/>
          <w:lang w:eastAsia="da-DK"/>
        </w:rPr>
        <w:t xml:space="preserve">ael Smed, </w:t>
      </w:r>
      <w:r w:rsidR="003A3FEA" w:rsidRPr="00DD258A">
        <w:rPr>
          <w:rFonts w:eastAsia="Times New Roman" w:cs="Times New Roman"/>
          <w:szCs w:val="20"/>
          <w:lang w:eastAsia="da-DK"/>
        </w:rPr>
        <w:t>Borgmester</w:t>
      </w:r>
      <w:r w:rsidR="001F7737" w:rsidRPr="00DD258A">
        <w:rPr>
          <w:rFonts w:eastAsia="Times New Roman" w:cs="Times New Roman"/>
          <w:szCs w:val="20"/>
          <w:lang w:eastAsia="da-DK"/>
        </w:rPr>
        <w:t xml:space="preserve"> og </w:t>
      </w:r>
      <w:r w:rsidR="00357C62">
        <w:rPr>
          <w:rFonts w:eastAsia="Times New Roman" w:cs="Times New Roman"/>
          <w:szCs w:val="20"/>
          <w:lang w:eastAsia="da-DK"/>
        </w:rPr>
        <w:t>Kristina Koch Sloth</w:t>
      </w:r>
      <w:r w:rsidR="001F7737" w:rsidRPr="00DD258A">
        <w:rPr>
          <w:rFonts w:eastAsia="Times New Roman" w:cs="Times New Roman"/>
          <w:szCs w:val="20"/>
          <w:lang w:eastAsia="da-DK"/>
        </w:rPr>
        <w:t>,</w:t>
      </w:r>
      <w:r w:rsidR="003A3FEA" w:rsidRPr="00DD258A">
        <w:rPr>
          <w:rFonts w:eastAsia="Times New Roman" w:cs="Times New Roman"/>
          <w:szCs w:val="20"/>
          <w:lang w:eastAsia="da-DK"/>
        </w:rPr>
        <w:t xml:space="preserve"> Kommunaldirektør</w:t>
      </w:r>
      <w:r w:rsidR="003A3FEA" w:rsidRPr="00DD258A">
        <w:rPr>
          <w:rFonts w:eastAsia="Times New Roman" w:cs="Times New Roman"/>
          <w:szCs w:val="20"/>
          <w:lang w:eastAsia="da-DK"/>
        </w:rPr>
        <w:br w:type="page"/>
      </w:r>
    </w:p>
    <w:p w14:paraId="2FF9C780" w14:textId="4BD34687" w:rsidR="00137764" w:rsidRPr="00DD258A" w:rsidRDefault="00137764" w:rsidP="006611A1">
      <w:pPr>
        <w:pStyle w:val="Overskrift1"/>
        <w:rPr>
          <w:rFonts w:eastAsia="Times New Roman"/>
          <w:lang w:eastAsia="da-DK"/>
        </w:rPr>
      </w:pPr>
      <w:bookmarkStart w:id="9" w:name="_Toc178844972"/>
      <w:r w:rsidRPr="00DD258A">
        <w:rPr>
          <w:rFonts w:eastAsia="Times New Roman"/>
          <w:lang w:eastAsia="da-DK"/>
        </w:rPr>
        <w:lastRenderedPageBreak/>
        <w:t xml:space="preserve">Ordning for </w:t>
      </w:r>
      <w:r w:rsidR="00357C62">
        <w:rPr>
          <w:rFonts w:eastAsia="Times New Roman"/>
          <w:lang w:eastAsia="da-DK"/>
        </w:rPr>
        <w:t>husholdningslignende restaffald</w:t>
      </w:r>
      <w:bookmarkEnd w:id="9"/>
    </w:p>
    <w:p w14:paraId="1C673F7C" w14:textId="72CC48A1" w:rsidR="00137764" w:rsidRPr="00DD258A" w:rsidRDefault="00137764" w:rsidP="006611A1">
      <w:pPr>
        <w:pStyle w:val="Overskrift2"/>
        <w:rPr>
          <w:color w:val="auto"/>
          <w:lang w:eastAsia="da-DK"/>
        </w:rPr>
      </w:pPr>
      <w:r w:rsidRPr="00DD258A">
        <w:rPr>
          <w:color w:val="auto"/>
          <w:lang w:eastAsia="da-DK"/>
        </w:rPr>
        <w:t xml:space="preserve">§10.1 Hvad er </w:t>
      </w:r>
      <w:r w:rsidR="00357C62">
        <w:rPr>
          <w:color w:val="auto"/>
          <w:lang w:eastAsia="da-DK"/>
        </w:rPr>
        <w:t>husholdningslignede restaffald</w:t>
      </w:r>
    </w:p>
    <w:p w14:paraId="3FFB448D" w14:textId="77777777" w:rsidR="00137764" w:rsidRPr="00DD258A" w:rsidRDefault="00137764" w:rsidP="00137764">
      <w:pPr>
        <w:spacing w:after="200"/>
        <w:rPr>
          <w:rFonts w:eastAsia="Times New Roman" w:cs="Times New Roman"/>
          <w:szCs w:val="20"/>
          <w:lang w:eastAsia="da-DK"/>
        </w:rPr>
      </w:pPr>
    </w:p>
    <w:p w14:paraId="45EBC2C6" w14:textId="77777777" w:rsidR="00357C62" w:rsidRPr="00357C62" w:rsidRDefault="00357C62" w:rsidP="00357C62">
      <w:pPr>
        <w:spacing w:after="200"/>
        <w:rPr>
          <w:rFonts w:eastAsia="Times New Roman" w:cs="Times New Roman"/>
          <w:szCs w:val="20"/>
          <w:lang w:eastAsia="da-DK"/>
        </w:rPr>
      </w:pPr>
      <w:r w:rsidRPr="00357C62">
        <w:rPr>
          <w:rFonts w:eastAsia="Times New Roman" w:cs="Times New Roman"/>
          <w:szCs w:val="20"/>
          <w:lang w:eastAsia="da-DK"/>
        </w:rPr>
        <w:t>Husholdningslignende restaffald er restaffald, som er frembragt af virksomheder, og som i sammensætning svarer til restaffald fra private husholdninger.</w:t>
      </w:r>
    </w:p>
    <w:p w14:paraId="009C114E" w14:textId="77777777" w:rsidR="00357C62" w:rsidRDefault="00357C62" w:rsidP="00357C62">
      <w:pPr>
        <w:spacing w:after="200"/>
        <w:rPr>
          <w:rFonts w:eastAsia="Times New Roman" w:cs="Times New Roman"/>
          <w:szCs w:val="20"/>
          <w:lang w:eastAsia="da-DK"/>
        </w:rPr>
      </w:pPr>
      <w:r w:rsidRPr="00357C62">
        <w:rPr>
          <w:rFonts w:eastAsia="Times New Roman" w:cs="Times New Roman"/>
          <w:szCs w:val="20"/>
          <w:lang w:eastAsia="da-DK"/>
        </w:rPr>
        <w:t>Restaffald sorteres i overensstemmelse med sorteringskriterierne i bilag 6 til affaldsbekendtgørelsen.</w:t>
      </w:r>
    </w:p>
    <w:p w14:paraId="3EE2132D" w14:textId="05FDE6E7" w:rsidR="000E2C76" w:rsidRPr="00357C62" w:rsidRDefault="000E2C76" w:rsidP="00357C62">
      <w:pPr>
        <w:spacing w:after="200"/>
        <w:rPr>
          <w:rFonts w:eastAsia="Times New Roman" w:cs="Times New Roman"/>
          <w:szCs w:val="20"/>
          <w:lang w:eastAsia="da-DK"/>
        </w:rPr>
      </w:pPr>
      <w:r w:rsidRPr="000E2C76">
        <w:rPr>
          <w:rFonts w:eastAsia="Times New Roman" w:cs="Times New Roman"/>
          <w:szCs w:val="20"/>
          <w:lang w:eastAsia="da-DK"/>
        </w:rPr>
        <w:t xml:space="preserve">Til restaffald sorteres affald, som ikke er omfattet af andre etablerede indsamlings- eller anvisningsordninger dvs. affald, som ikke er egnet til materialenyttiggørelse, ikke farligt affald eller ikke er omfattet af en ordning med producentansvar. </w:t>
      </w:r>
      <w:r>
        <w:rPr>
          <w:rFonts w:eastAsia="Times New Roman" w:cs="Times New Roman"/>
          <w:szCs w:val="20"/>
          <w:lang w:eastAsia="da-DK"/>
        </w:rPr>
        <w:t>Vordingborg Kommune</w:t>
      </w:r>
      <w:r w:rsidRPr="000E2C76">
        <w:rPr>
          <w:rFonts w:eastAsia="Times New Roman" w:cs="Times New Roman"/>
          <w:szCs w:val="20"/>
          <w:lang w:eastAsia="da-DK"/>
        </w:rPr>
        <w:t xml:space="preserve"> afgør i tvivlstilfælde, om en genstand er omfattet af ordningen for restaff</w:t>
      </w:r>
      <w:r>
        <w:rPr>
          <w:rFonts w:eastAsia="Times New Roman" w:cs="Times New Roman"/>
          <w:szCs w:val="20"/>
          <w:lang w:eastAsia="da-DK"/>
        </w:rPr>
        <w:t>ald.</w:t>
      </w:r>
    </w:p>
    <w:p w14:paraId="7803CE90" w14:textId="77777777" w:rsidR="00137764" w:rsidRPr="00DD258A" w:rsidRDefault="00137764" w:rsidP="006611A1">
      <w:pPr>
        <w:pStyle w:val="Overskrift2"/>
        <w:rPr>
          <w:color w:val="auto"/>
          <w:lang w:eastAsia="da-DK"/>
        </w:rPr>
      </w:pPr>
      <w:r w:rsidRPr="00DD258A">
        <w:rPr>
          <w:color w:val="auto"/>
          <w:lang w:eastAsia="da-DK"/>
        </w:rPr>
        <w:t>§10.2 Hvem gælder ordningen for</w:t>
      </w:r>
    </w:p>
    <w:p w14:paraId="451868F1" w14:textId="77777777" w:rsidR="00101943" w:rsidRPr="00DD258A" w:rsidRDefault="00101943" w:rsidP="00101943">
      <w:pPr>
        <w:rPr>
          <w:lang w:eastAsia="da-DK"/>
        </w:rPr>
      </w:pPr>
    </w:p>
    <w:p w14:paraId="547EBE7D" w14:textId="21347F8A" w:rsidR="009439BB" w:rsidRPr="00DD258A" w:rsidRDefault="009439BB" w:rsidP="009439BB">
      <w:pPr>
        <w:spacing w:after="200"/>
        <w:rPr>
          <w:rFonts w:eastAsia="Times New Roman" w:cs="Times New Roman"/>
          <w:szCs w:val="20"/>
          <w:lang w:eastAsia="da-DK"/>
        </w:rPr>
      </w:pPr>
      <w:r w:rsidRPr="00DD258A">
        <w:rPr>
          <w:rFonts w:eastAsia="Times New Roman" w:cs="Times New Roman"/>
          <w:szCs w:val="20"/>
          <w:lang w:eastAsia="da-DK"/>
        </w:rPr>
        <w:t xml:space="preserve">Ordningen for </w:t>
      </w:r>
      <w:r w:rsidR="00357C62">
        <w:rPr>
          <w:rFonts w:eastAsia="Times New Roman" w:cs="Times New Roman"/>
          <w:szCs w:val="20"/>
          <w:lang w:eastAsia="da-DK"/>
        </w:rPr>
        <w:t>h</w:t>
      </w:r>
      <w:r w:rsidR="00357C62" w:rsidRPr="00357C62">
        <w:rPr>
          <w:rFonts w:eastAsia="Times New Roman" w:cs="Times New Roman"/>
          <w:szCs w:val="20"/>
          <w:lang w:eastAsia="da-DK"/>
        </w:rPr>
        <w:t xml:space="preserve">usholdningslignende restaffald </w:t>
      </w:r>
      <w:r w:rsidRPr="00DD258A">
        <w:rPr>
          <w:rFonts w:eastAsia="Times New Roman" w:cs="Times New Roman"/>
          <w:szCs w:val="20"/>
          <w:lang w:eastAsia="da-DK"/>
        </w:rPr>
        <w:t xml:space="preserve">gælder for alle virksomheder i </w:t>
      </w:r>
      <w:r w:rsidR="00FD2861" w:rsidRPr="00DD258A">
        <w:rPr>
          <w:rFonts w:eastAsia="Times New Roman" w:cs="Times New Roman"/>
          <w:szCs w:val="20"/>
          <w:lang w:eastAsia="da-DK"/>
        </w:rPr>
        <w:t>Vordingborg Kommune</w:t>
      </w:r>
      <w:r w:rsidRPr="00DD258A">
        <w:rPr>
          <w:rFonts w:eastAsia="Times New Roman" w:cs="Times New Roman"/>
          <w:szCs w:val="20"/>
          <w:lang w:eastAsia="da-DK"/>
        </w:rPr>
        <w:t xml:space="preserve">. </w:t>
      </w:r>
    </w:p>
    <w:p w14:paraId="1D5EB28E" w14:textId="77777777" w:rsidR="009439BB" w:rsidRPr="00DD258A" w:rsidRDefault="009439BB" w:rsidP="00F23B4F">
      <w:pPr>
        <w:pStyle w:val="Normaloverskrift"/>
      </w:pPr>
      <w:r w:rsidRPr="00DD258A">
        <w:t>Kommunale virksomheder og institutioner</w:t>
      </w:r>
    </w:p>
    <w:p w14:paraId="54F4AFB3" w14:textId="04AFCC48" w:rsidR="009439BB" w:rsidRPr="00DD258A" w:rsidRDefault="00855BFE" w:rsidP="009439BB">
      <w:pPr>
        <w:spacing w:after="200"/>
        <w:rPr>
          <w:rFonts w:eastAsia="Times New Roman" w:cs="Times New Roman"/>
          <w:szCs w:val="20"/>
          <w:lang w:eastAsia="da-DK"/>
        </w:rPr>
      </w:pPr>
      <w:r w:rsidRPr="00DD258A">
        <w:rPr>
          <w:rFonts w:eastAsia="Times New Roman" w:cs="Times New Roman"/>
          <w:szCs w:val="20"/>
          <w:lang w:eastAsia="da-DK"/>
        </w:rPr>
        <w:t>V</w:t>
      </w:r>
      <w:r w:rsidR="009439BB" w:rsidRPr="00DD258A">
        <w:rPr>
          <w:rFonts w:eastAsia="Times New Roman" w:cs="Times New Roman"/>
          <w:szCs w:val="20"/>
          <w:lang w:eastAsia="da-DK"/>
        </w:rPr>
        <w:t>irksomheder og institutioner, der er kommunale, kan</w:t>
      </w:r>
      <w:r w:rsidR="007A0236" w:rsidRPr="00DD258A">
        <w:rPr>
          <w:rFonts w:eastAsia="Times New Roman" w:cs="Times New Roman"/>
          <w:szCs w:val="20"/>
          <w:lang w:eastAsia="da-DK"/>
        </w:rPr>
        <w:t xml:space="preserve"> </w:t>
      </w:r>
      <w:r w:rsidR="009439BB" w:rsidRPr="00DD258A">
        <w:rPr>
          <w:rFonts w:eastAsia="Times New Roman" w:cs="Times New Roman"/>
          <w:szCs w:val="20"/>
          <w:lang w:eastAsia="da-DK"/>
        </w:rPr>
        <w:t xml:space="preserve">benytte den kommunale indsamlingsordning for </w:t>
      </w:r>
      <w:r w:rsidR="000E2C76">
        <w:rPr>
          <w:rFonts w:eastAsia="Times New Roman" w:cs="Times New Roman"/>
          <w:szCs w:val="20"/>
          <w:lang w:eastAsia="da-DK"/>
        </w:rPr>
        <w:t>restaffald</w:t>
      </w:r>
      <w:r w:rsidR="009B777A" w:rsidRPr="00DD258A">
        <w:rPr>
          <w:rFonts w:eastAsia="Times New Roman" w:cs="Times New Roman"/>
          <w:szCs w:val="20"/>
          <w:lang w:eastAsia="da-DK"/>
        </w:rPr>
        <w:t xml:space="preserve"> fra husholdninger jf. § </w:t>
      </w:r>
      <w:r w:rsidR="000E2C76">
        <w:rPr>
          <w:rFonts w:eastAsia="Times New Roman" w:cs="Times New Roman"/>
          <w:szCs w:val="20"/>
          <w:lang w:eastAsia="da-DK"/>
        </w:rPr>
        <w:t>1</w:t>
      </w:r>
      <w:r w:rsidR="009B777A" w:rsidRPr="00DD258A">
        <w:rPr>
          <w:rFonts w:eastAsia="Times New Roman" w:cs="Times New Roman"/>
          <w:szCs w:val="20"/>
          <w:lang w:eastAsia="da-DK"/>
        </w:rPr>
        <w:t>9 i R</w:t>
      </w:r>
      <w:r w:rsidR="009439BB" w:rsidRPr="00DD258A">
        <w:rPr>
          <w:rFonts w:eastAsia="Times New Roman" w:cs="Times New Roman"/>
          <w:szCs w:val="20"/>
          <w:lang w:eastAsia="da-DK"/>
        </w:rPr>
        <w:t>egulativ for husholdningsaffald</w:t>
      </w:r>
      <w:r w:rsidR="0034531A">
        <w:rPr>
          <w:rFonts w:eastAsia="Times New Roman" w:cs="Times New Roman"/>
          <w:szCs w:val="20"/>
          <w:lang w:eastAsia="da-DK"/>
        </w:rPr>
        <w:t xml:space="preserve"> samt de øvrige kommunale indsamlingsordninger i henhold til regulativ for husholdningsaffald</w:t>
      </w:r>
      <w:r w:rsidR="009439BB" w:rsidRPr="00DD258A">
        <w:rPr>
          <w:rFonts w:eastAsia="Times New Roman" w:cs="Times New Roman"/>
          <w:szCs w:val="20"/>
          <w:lang w:eastAsia="da-DK"/>
        </w:rPr>
        <w:t xml:space="preserve">. </w:t>
      </w:r>
    </w:p>
    <w:p w14:paraId="4A05561F" w14:textId="77777777" w:rsidR="009439BB" w:rsidRPr="00DD258A" w:rsidRDefault="009439BB" w:rsidP="00F23B4F">
      <w:pPr>
        <w:pStyle w:val="Normaloverskrift"/>
      </w:pPr>
      <w:r w:rsidRPr="00DD258A">
        <w:t>Øvrige virksomheder</w:t>
      </w:r>
    </w:p>
    <w:p w14:paraId="406D71B5" w14:textId="6DDCCB0B" w:rsidR="009439BB" w:rsidRPr="00DD258A" w:rsidRDefault="009439BB" w:rsidP="0034531A">
      <w:pPr>
        <w:spacing w:after="200"/>
        <w:rPr>
          <w:rFonts w:eastAsia="Times New Roman" w:cs="Times New Roman"/>
          <w:szCs w:val="20"/>
          <w:lang w:eastAsia="da-DK"/>
        </w:rPr>
      </w:pPr>
      <w:r w:rsidRPr="00DD258A">
        <w:rPr>
          <w:rFonts w:eastAsia="Times New Roman" w:cs="Times New Roman"/>
          <w:szCs w:val="20"/>
          <w:lang w:eastAsia="da-DK"/>
        </w:rPr>
        <w:t xml:space="preserve">Øvrige virksomheder kan vælge at benytte den kommunale indsamlingsordning for </w:t>
      </w:r>
      <w:r w:rsidR="0034531A">
        <w:rPr>
          <w:rFonts w:eastAsia="Times New Roman" w:cs="Times New Roman"/>
          <w:szCs w:val="20"/>
          <w:lang w:eastAsia="da-DK"/>
        </w:rPr>
        <w:t>restaffald</w:t>
      </w:r>
      <w:r w:rsidRPr="00DD258A">
        <w:rPr>
          <w:rFonts w:eastAsia="Times New Roman" w:cs="Times New Roman"/>
          <w:szCs w:val="20"/>
          <w:lang w:eastAsia="da-DK"/>
        </w:rPr>
        <w:t xml:space="preserve"> beskrevet i § </w:t>
      </w:r>
      <w:r w:rsidR="0034531A">
        <w:rPr>
          <w:rFonts w:eastAsia="Times New Roman" w:cs="Times New Roman"/>
          <w:szCs w:val="20"/>
          <w:lang w:eastAsia="da-DK"/>
        </w:rPr>
        <w:t>1</w:t>
      </w:r>
      <w:r w:rsidRPr="00DD258A">
        <w:rPr>
          <w:rFonts w:eastAsia="Times New Roman" w:cs="Times New Roman"/>
          <w:szCs w:val="20"/>
          <w:lang w:eastAsia="da-DK"/>
        </w:rPr>
        <w:t xml:space="preserve">9 i Regulativ for husholdningsaffald. Dog kan private virksomheder kun benytte </w:t>
      </w:r>
      <w:r w:rsidR="0034531A">
        <w:rPr>
          <w:rFonts w:eastAsia="Times New Roman" w:cs="Times New Roman"/>
          <w:szCs w:val="20"/>
          <w:lang w:eastAsia="da-DK"/>
        </w:rPr>
        <w:t>de øvrige kommunale indsamlingsordninger for husholdninger, safremt affaldet i mængde og art svarer til en husstands.</w:t>
      </w:r>
    </w:p>
    <w:p w14:paraId="41AFF728" w14:textId="77777777" w:rsidR="009439BB" w:rsidRPr="00DD258A" w:rsidRDefault="009439BB" w:rsidP="009439BB">
      <w:pPr>
        <w:spacing w:after="200"/>
        <w:rPr>
          <w:rFonts w:eastAsia="Times New Roman" w:cs="Times New Roman"/>
          <w:szCs w:val="20"/>
          <w:lang w:eastAsia="da-DK"/>
        </w:rPr>
      </w:pPr>
      <w:r w:rsidRPr="00DD258A">
        <w:rPr>
          <w:rFonts w:eastAsia="Times New Roman" w:cs="Times New Roman"/>
          <w:szCs w:val="20"/>
          <w:lang w:eastAsia="da-DK"/>
        </w:rPr>
        <w:t>Virksomheden har pligt til:</w:t>
      </w:r>
    </w:p>
    <w:p w14:paraId="16A9A189" w14:textId="4A666220" w:rsidR="009439BB" w:rsidRPr="00DD258A" w:rsidRDefault="009439BB" w:rsidP="009439BB">
      <w:pPr>
        <w:spacing w:after="200"/>
        <w:rPr>
          <w:rFonts w:eastAsia="Times New Roman" w:cs="Times New Roman"/>
          <w:szCs w:val="20"/>
          <w:lang w:eastAsia="da-DK"/>
        </w:rPr>
      </w:pPr>
      <w:r w:rsidRPr="00DD258A">
        <w:rPr>
          <w:rFonts w:eastAsia="Times New Roman" w:cs="Times New Roman"/>
          <w:b/>
          <w:szCs w:val="20"/>
          <w:lang w:eastAsia="da-DK"/>
        </w:rPr>
        <w:t>Enten</w:t>
      </w:r>
      <w:r w:rsidRPr="00DD258A">
        <w:rPr>
          <w:rFonts w:eastAsia="Times New Roman" w:cs="Times New Roman"/>
          <w:szCs w:val="20"/>
          <w:lang w:eastAsia="da-DK"/>
        </w:rPr>
        <w:t xml:space="preserve"> at tilmelde virksomheden til den kommunale indsamlingsordning for </w:t>
      </w:r>
      <w:r w:rsidR="0034531A">
        <w:rPr>
          <w:rFonts w:eastAsia="Times New Roman" w:cs="Times New Roman"/>
          <w:szCs w:val="20"/>
          <w:lang w:eastAsia="da-DK"/>
        </w:rPr>
        <w:t>restaffald</w:t>
      </w:r>
      <w:r w:rsidRPr="00DD258A">
        <w:rPr>
          <w:rFonts w:eastAsia="Times New Roman" w:cs="Times New Roman"/>
          <w:szCs w:val="20"/>
          <w:lang w:eastAsia="da-DK"/>
        </w:rPr>
        <w:t xml:space="preserve"> for husholdninger på vilkår fastlagt i Regulativ for husholdningsaffald. Tilmelding sker ved henvendelse til </w:t>
      </w:r>
      <w:r w:rsidR="00FD2861" w:rsidRPr="00DD258A">
        <w:rPr>
          <w:rFonts w:eastAsia="Times New Roman" w:cs="Times New Roman"/>
          <w:szCs w:val="20"/>
          <w:lang w:eastAsia="da-DK"/>
        </w:rPr>
        <w:t>Vordingborg Kommune</w:t>
      </w:r>
      <w:r w:rsidRPr="00DD258A">
        <w:rPr>
          <w:rFonts w:eastAsia="Times New Roman" w:cs="Times New Roman"/>
          <w:szCs w:val="20"/>
          <w:lang w:eastAsia="da-DK"/>
        </w:rPr>
        <w:t>.</w:t>
      </w:r>
    </w:p>
    <w:p w14:paraId="04A6BCBF" w14:textId="54CF4CA7" w:rsidR="009439BB" w:rsidRPr="00DD258A" w:rsidRDefault="009439BB" w:rsidP="009439BB">
      <w:pPr>
        <w:spacing w:after="200"/>
        <w:rPr>
          <w:rFonts w:eastAsia="Times New Roman" w:cs="Times New Roman"/>
          <w:szCs w:val="20"/>
          <w:lang w:eastAsia="da-DK"/>
        </w:rPr>
      </w:pPr>
      <w:r w:rsidRPr="00DD258A">
        <w:rPr>
          <w:rFonts w:eastAsia="Times New Roman" w:cs="Times New Roman"/>
          <w:b/>
          <w:szCs w:val="20"/>
          <w:lang w:eastAsia="da-DK"/>
        </w:rPr>
        <w:t>Eller</w:t>
      </w:r>
      <w:r w:rsidRPr="00DD258A">
        <w:rPr>
          <w:rFonts w:eastAsia="Times New Roman" w:cs="Times New Roman"/>
          <w:szCs w:val="20"/>
          <w:lang w:eastAsia="da-DK"/>
        </w:rPr>
        <w:t xml:space="preserve"> at træffe aftale med en registreret transportør/indsamler i Miljøstyrelsens landsdækkende register</w:t>
      </w:r>
      <w:r w:rsidR="0034531A">
        <w:rPr>
          <w:rFonts w:eastAsia="Times New Roman" w:cs="Times New Roman"/>
          <w:szCs w:val="20"/>
          <w:lang w:eastAsia="da-DK"/>
        </w:rPr>
        <w:t xml:space="preserve"> om indsamling af det husholdningslignende restaffald</w:t>
      </w:r>
      <w:r w:rsidRPr="00DD258A">
        <w:rPr>
          <w:rFonts w:eastAsia="Times New Roman" w:cs="Times New Roman"/>
          <w:szCs w:val="20"/>
          <w:lang w:eastAsia="da-DK"/>
        </w:rPr>
        <w:t>.</w:t>
      </w:r>
    </w:p>
    <w:p w14:paraId="0BA392CD" w14:textId="77777777" w:rsidR="00137764" w:rsidRPr="00DD258A" w:rsidRDefault="00137764" w:rsidP="006611A1">
      <w:pPr>
        <w:pStyle w:val="Overskrift2"/>
        <w:rPr>
          <w:color w:val="auto"/>
          <w:lang w:eastAsia="da-DK"/>
        </w:rPr>
      </w:pPr>
      <w:r w:rsidRPr="00DD258A">
        <w:rPr>
          <w:color w:val="auto"/>
          <w:lang w:eastAsia="da-DK"/>
        </w:rPr>
        <w:t>§10.3 Beskrivelse af ordningen</w:t>
      </w:r>
    </w:p>
    <w:p w14:paraId="1D438AC8" w14:textId="77777777" w:rsidR="00125C72" w:rsidRPr="00DD258A" w:rsidRDefault="00125C72" w:rsidP="00125C72">
      <w:pPr>
        <w:rPr>
          <w:lang w:eastAsia="da-DK"/>
        </w:rPr>
      </w:pPr>
    </w:p>
    <w:p w14:paraId="245C65FE" w14:textId="77777777" w:rsidR="00137764" w:rsidRPr="00DD258A" w:rsidRDefault="00137764" w:rsidP="00F23B4F">
      <w:pPr>
        <w:pStyle w:val="Normaloverskrift"/>
      </w:pPr>
      <w:r w:rsidRPr="00DD258A">
        <w:t>Sortering</w:t>
      </w:r>
    </w:p>
    <w:p w14:paraId="0052136F" w14:textId="1E788D75" w:rsidR="0043162B" w:rsidRDefault="0034531A" w:rsidP="0043162B">
      <w:pPr>
        <w:spacing w:after="200"/>
        <w:rPr>
          <w:rFonts w:eastAsia="Times New Roman" w:cs="Times New Roman"/>
          <w:szCs w:val="20"/>
          <w:lang w:eastAsia="da-DK"/>
        </w:rPr>
      </w:pPr>
      <w:r w:rsidRPr="0034531A">
        <w:rPr>
          <w:rFonts w:eastAsia="Times New Roman" w:cs="Times New Roman"/>
          <w:szCs w:val="20"/>
          <w:lang w:eastAsia="da-DK"/>
        </w:rPr>
        <w:t>Virksomheden skal sortere husholdningslignende restaffald fra øvrigt affal</w:t>
      </w:r>
      <w:r w:rsidR="0043162B">
        <w:rPr>
          <w:rFonts w:eastAsia="Times New Roman" w:cs="Times New Roman"/>
          <w:szCs w:val="20"/>
          <w:lang w:eastAsia="da-DK"/>
        </w:rPr>
        <w:t>d med henblik på materialenyttiggørelse</w:t>
      </w:r>
      <w:r w:rsidR="0043162B" w:rsidRPr="0034531A">
        <w:rPr>
          <w:rFonts w:eastAsia="Times New Roman" w:cs="Times New Roman"/>
          <w:szCs w:val="20"/>
          <w:lang w:eastAsia="da-DK"/>
        </w:rPr>
        <w:t xml:space="preserve">. </w:t>
      </w:r>
    </w:p>
    <w:p w14:paraId="67C03BAD" w14:textId="77777777" w:rsidR="0043162B" w:rsidRDefault="0043162B" w:rsidP="0043162B">
      <w:pPr>
        <w:spacing w:after="200"/>
        <w:rPr>
          <w:rFonts w:eastAsia="Times New Roman" w:cs="Times New Roman"/>
          <w:szCs w:val="20"/>
          <w:lang w:eastAsia="da-DK"/>
        </w:rPr>
      </w:pPr>
      <w:r>
        <w:rPr>
          <w:rFonts w:eastAsia="Times New Roman" w:cs="Times New Roman"/>
          <w:szCs w:val="20"/>
          <w:lang w:eastAsia="da-DK"/>
        </w:rPr>
        <w:t>V</w:t>
      </w:r>
      <w:r w:rsidRPr="0072181E">
        <w:rPr>
          <w:rFonts w:eastAsia="Times New Roman" w:cs="Times New Roman"/>
          <w:szCs w:val="20"/>
          <w:lang w:eastAsia="da-DK"/>
        </w:rPr>
        <w:t xml:space="preserve">irksomheder </w:t>
      </w:r>
      <w:r>
        <w:rPr>
          <w:rFonts w:eastAsia="Times New Roman" w:cs="Times New Roman"/>
          <w:szCs w:val="20"/>
          <w:lang w:eastAsia="da-DK"/>
        </w:rPr>
        <w:t xml:space="preserve">er forpligtet til at </w:t>
      </w:r>
      <w:r w:rsidRPr="0072181E">
        <w:rPr>
          <w:rFonts w:eastAsia="Times New Roman" w:cs="Times New Roman"/>
          <w:szCs w:val="20"/>
          <w:lang w:eastAsia="da-DK"/>
        </w:rPr>
        <w:t xml:space="preserve">sortere deres husholdningslignende affald i </w:t>
      </w:r>
      <w:r>
        <w:rPr>
          <w:rFonts w:eastAsia="Times New Roman" w:cs="Times New Roman"/>
          <w:szCs w:val="20"/>
          <w:lang w:eastAsia="da-DK"/>
        </w:rPr>
        <w:t>Affaldet skal sorteres i følgende fraktioner:</w:t>
      </w:r>
    </w:p>
    <w:p w14:paraId="54BE3816"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lastRenderedPageBreak/>
        <w:t>Glasaffald.</w:t>
      </w:r>
    </w:p>
    <w:p w14:paraId="207A7CDC"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Metalaffald.</w:t>
      </w:r>
    </w:p>
    <w:p w14:paraId="1614C7BC"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Plastaffald.</w:t>
      </w:r>
    </w:p>
    <w:p w14:paraId="363F3989"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Papiraffald.</w:t>
      </w:r>
    </w:p>
    <w:p w14:paraId="328F0620"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Papaffald.</w:t>
      </w:r>
    </w:p>
    <w:p w14:paraId="33EACCCC"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Madaffald.</w:t>
      </w:r>
    </w:p>
    <w:p w14:paraId="51BF7969"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Haveaffald.</w:t>
      </w:r>
    </w:p>
    <w:p w14:paraId="39A1A00A"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Træaffald.</w:t>
      </w:r>
    </w:p>
    <w:p w14:paraId="088572E2"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Tekstilaffald.</w:t>
      </w:r>
    </w:p>
    <w:p w14:paraId="0294F403"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Mad- og drikkekartonaffald.</w:t>
      </w:r>
    </w:p>
    <w:p w14:paraId="2761DB80"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Genanvendeligt farligt affald, herunder batterier og elektronik.</w:t>
      </w:r>
    </w:p>
    <w:p w14:paraId="702E911F" w14:textId="77777777" w:rsidR="0043162B" w:rsidRPr="007218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Genanvendeligt PVC-affald.</w:t>
      </w:r>
    </w:p>
    <w:p w14:paraId="45823804" w14:textId="77777777" w:rsidR="0043162B" w:rsidRPr="008F361E" w:rsidRDefault="0043162B" w:rsidP="0043162B">
      <w:pPr>
        <w:numPr>
          <w:ilvl w:val="0"/>
          <w:numId w:val="19"/>
        </w:numPr>
        <w:spacing w:after="200"/>
        <w:rPr>
          <w:rFonts w:eastAsia="Times New Roman" w:cs="Times New Roman"/>
          <w:szCs w:val="20"/>
          <w:lang w:eastAsia="da-DK"/>
        </w:rPr>
      </w:pPr>
      <w:r w:rsidRPr="0072181E">
        <w:rPr>
          <w:rFonts w:eastAsia="Times New Roman" w:cs="Times New Roman"/>
          <w:szCs w:val="20"/>
          <w:lang w:eastAsia="da-DK"/>
        </w:rPr>
        <w:t>Andet affald, der er egnet til materialenyttiggørelse.</w:t>
      </w:r>
    </w:p>
    <w:p w14:paraId="09B65F6E" w14:textId="73D70584" w:rsidR="0034531A" w:rsidRDefault="0034531A" w:rsidP="00137764">
      <w:pPr>
        <w:spacing w:after="200"/>
        <w:rPr>
          <w:rFonts w:eastAsia="Times New Roman" w:cs="Times New Roman"/>
          <w:szCs w:val="20"/>
          <w:lang w:eastAsia="da-DK"/>
        </w:rPr>
      </w:pPr>
      <w:r w:rsidRPr="0034531A">
        <w:rPr>
          <w:rFonts w:eastAsia="Times New Roman" w:cs="Times New Roman"/>
          <w:szCs w:val="20"/>
          <w:lang w:eastAsia="da-DK"/>
        </w:rPr>
        <w:t xml:space="preserve">Ikke-væsentlige mængder af forbrændingsegnet affald kan blandes i det husholdningslignende affald. Det er </w:t>
      </w:r>
      <w:r w:rsidR="007A606F">
        <w:rPr>
          <w:rFonts w:eastAsia="Times New Roman" w:cs="Times New Roman"/>
          <w:szCs w:val="20"/>
          <w:lang w:eastAsia="da-DK"/>
        </w:rPr>
        <w:t>Vordingborg</w:t>
      </w:r>
      <w:r w:rsidR="007A606F" w:rsidRPr="0034531A">
        <w:rPr>
          <w:rFonts w:eastAsia="Times New Roman" w:cs="Times New Roman"/>
          <w:szCs w:val="20"/>
          <w:lang w:eastAsia="da-DK"/>
        </w:rPr>
        <w:t xml:space="preserve"> </w:t>
      </w:r>
      <w:r w:rsidRPr="0034531A">
        <w:rPr>
          <w:rFonts w:eastAsia="Times New Roman" w:cs="Times New Roman"/>
          <w:szCs w:val="20"/>
          <w:lang w:eastAsia="da-DK"/>
        </w:rPr>
        <w:t xml:space="preserve">Kommune, der afgør, om der er tale om ikke-væsentlige mængder forbrændingsegnet affald. </w:t>
      </w:r>
    </w:p>
    <w:p w14:paraId="7CF0906A" w14:textId="77777777" w:rsidR="0034531A" w:rsidRPr="0034531A" w:rsidRDefault="0034531A" w:rsidP="00137764">
      <w:pPr>
        <w:spacing w:after="200"/>
        <w:rPr>
          <w:rFonts w:eastAsia="Times New Roman" w:cs="Times New Roman"/>
          <w:b/>
          <w:bCs/>
          <w:szCs w:val="20"/>
          <w:lang w:eastAsia="da-DK"/>
        </w:rPr>
      </w:pPr>
      <w:r w:rsidRPr="0034531A">
        <w:rPr>
          <w:rFonts w:eastAsia="Times New Roman" w:cs="Times New Roman"/>
          <w:b/>
          <w:bCs/>
          <w:szCs w:val="20"/>
          <w:lang w:eastAsia="da-DK"/>
        </w:rPr>
        <w:t xml:space="preserve">Emballering og opbevaring af affaldet, samt mærkning </w:t>
      </w:r>
    </w:p>
    <w:p w14:paraId="3CF112BF" w14:textId="77777777" w:rsidR="0043162B" w:rsidRDefault="0034531A" w:rsidP="00137764">
      <w:pPr>
        <w:spacing w:after="200"/>
        <w:rPr>
          <w:rFonts w:eastAsia="Times New Roman" w:cs="Times New Roman"/>
          <w:szCs w:val="20"/>
          <w:lang w:eastAsia="da-DK"/>
        </w:rPr>
      </w:pPr>
      <w:r w:rsidRPr="0034531A">
        <w:rPr>
          <w:rFonts w:eastAsia="Times New Roman" w:cs="Times New Roman"/>
          <w:szCs w:val="20"/>
          <w:lang w:eastAsia="da-DK"/>
        </w:rPr>
        <w:t>Virksomheden har ansvaret for, at der er nødvendigt opsamlingsmateriel til opsamling og egnet opbevaring af husholdningslignende restaffald, der fremkommer på virksomheden. Opsamlingsmateriel skal være mærket</w:t>
      </w:r>
      <w:r w:rsidR="0043162B">
        <w:rPr>
          <w:rFonts w:eastAsia="Times New Roman" w:cs="Times New Roman"/>
          <w:szCs w:val="20"/>
          <w:lang w:eastAsia="da-DK"/>
        </w:rPr>
        <w:t xml:space="preserve"> med </w:t>
      </w:r>
      <w:r w:rsidR="0043162B" w:rsidRPr="0072181E">
        <w:rPr>
          <w:rFonts w:eastAsia="Times New Roman" w:cs="Times New Roman"/>
          <w:szCs w:val="20"/>
          <w:lang w:eastAsia="da-DK"/>
        </w:rPr>
        <w:t>de relevante piktogrammer</w:t>
      </w:r>
      <w:r w:rsidR="0043162B">
        <w:rPr>
          <w:rFonts w:eastAsia="Times New Roman" w:cs="Times New Roman"/>
          <w:szCs w:val="20"/>
          <w:lang w:eastAsia="da-DK"/>
        </w:rPr>
        <w:t>.</w:t>
      </w:r>
    </w:p>
    <w:p w14:paraId="19727084" w14:textId="77777777" w:rsidR="00DE4435" w:rsidRPr="00DD258A" w:rsidRDefault="00DE4435" w:rsidP="006611A1">
      <w:pPr>
        <w:pStyle w:val="Overskrift1"/>
      </w:pPr>
      <w:bookmarkStart w:id="10" w:name="_Toc178844973"/>
      <w:r w:rsidRPr="00DD258A">
        <w:t>Ordning for genbrugspladserne</w:t>
      </w:r>
      <w:bookmarkEnd w:id="10"/>
    </w:p>
    <w:p w14:paraId="5653267C" w14:textId="77777777" w:rsidR="00DE4435" w:rsidRPr="00DD258A" w:rsidRDefault="00E04C53" w:rsidP="00E04C53">
      <w:r w:rsidRPr="00DD258A">
        <w:t>Kommunalbestyrelsen</w:t>
      </w:r>
      <w:r w:rsidR="00DE4435" w:rsidRPr="00DD258A">
        <w:t xml:space="preserve"> har etableret genbrugspladser til modtagelse af affald.</w:t>
      </w:r>
    </w:p>
    <w:p w14:paraId="4EF8352B" w14:textId="77777777" w:rsidR="00DE4435" w:rsidRPr="00DD258A" w:rsidRDefault="00DE4435" w:rsidP="00E04C53"/>
    <w:p w14:paraId="231C8F76" w14:textId="77777777" w:rsidR="00DE4435" w:rsidRPr="00DD258A" w:rsidRDefault="00DE4435" w:rsidP="006611A1">
      <w:pPr>
        <w:pStyle w:val="Overskrift2"/>
        <w:rPr>
          <w:color w:val="auto"/>
        </w:rPr>
      </w:pPr>
      <w:r w:rsidRPr="00DD258A">
        <w:rPr>
          <w:color w:val="auto"/>
        </w:rPr>
        <w:t>§11.1 Hvem gælder ordningen for</w:t>
      </w:r>
    </w:p>
    <w:p w14:paraId="19B8575E" w14:textId="77777777" w:rsidR="00E04C53" w:rsidRPr="00DD258A" w:rsidRDefault="00E04C53" w:rsidP="00E04C53"/>
    <w:p w14:paraId="4FFC7F26" w14:textId="77777777" w:rsidR="00DE4435" w:rsidRPr="00DD258A" w:rsidRDefault="00DE4435" w:rsidP="00E04C53">
      <w:r w:rsidRPr="00DD258A">
        <w:t xml:space="preserve">Ordningen gælder for alle virksomheder, herunder virksomheder beliggende i </w:t>
      </w:r>
      <w:r w:rsidR="00FD2861" w:rsidRPr="00DD258A">
        <w:t>Vordingborg Kommune</w:t>
      </w:r>
      <w:r w:rsidRPr="00DD258A">
        <w:t xml:space="preserve"> og i øvrige AffaldPlus kommuner samt udenlandske virksomheder, som tilmelder sig ordningen.</w:t>
      </w:r>
    </w:p>
    <w:p w14:paraId="24A6B204" w14:textId="77777777" w:rsidR="00DE4435" w:rsidRPr="00DD258A" w:rsidRDefault="00DE4435" w:rsidP="00E04C53"/>
    <w:p w14:paraId="2A081BCC" w14:textId="77777777" w:rsidR="00DE4435" w:rsidRPr="00DD258A" w:rsidRDefault="00DE4435" w:rsidP="00E04C53">
      <w:r w:rsidRPr="00DD258A">
        <w:t>Det er frivilligt at benytte ordningen.</w:t>
      </w:r>
    </w:p>
    <w:p w14:paraId="141F1A82" w14:textId="77777777" w:rsidR="00DE4435" w:rsidRPr="00DD258A" w:rsidRDefault="00DE4435" w:rsidP="00E04C53"/>
    <w:p w14:paraId="0848A5F3" w14:textId="77777777" w:rsidR="00DE4435" w:rsidRPr="00DD258A" w:rsidRDefault="00DE4435" w:rsidP="00DE4435">
      <w:pPr>
        <w:autoSpaceDE w:val="0"/>
        <w:autoSpaceDN w:val="0"/>
        <w:adjustRightInd w:val="0"/>
        <w:spacing w:line="240" w:lineRule="auto"/>
        <w:rPr>
          <w:rFonts w:ascii="Verdana" w:hAnsi="Verdana" w:cs="Verdana"/>
          <w:b/>
          <w:bCs/>
          <w:sz w:val="29"/>
          <w:szCs w:val="29"/>
        </w:rPr>
      </w:pPr>
      <w:r w:rsidRPr="00DD258A">
        <w:rPr>
          <w:rFonts w:ascii="Verdana" w:hAnsi="Verdana" w:cs="Verdana"/>
          <w:b/>
          <w:bCs/>
          <w:sz w:val="29"/>
          <w:szCs w:val="29"/>
        </w:rPr>
        <w:t>§11.2 Adgang til genbrugspladserne</w:t>
      </w:r>
    </w:p>
    <w:p w14:paraId="66132202" w14:textId="77777777" w:rsidR="00DE4435" w:rsidRPr="00DD258A" w:rsidRDefault="00DE4435" w:rsidP="00E04C53"/>
    <w:p w14:paraId="070C928D" w14:textId="77777777" w:rsidR="00DE4435" w:rsidRPr="00DD258A" w:rsidRDefault="00DE4435" w:rsidP="00E04C53">
      <w:r w:rsidRPr="00DD258A">
        <w:t>Virksomheden har imod betaling af gebyr adgang til de kommunale genbrugspladser i:</w:t>
      </w:r>
    </w:p>
    <w:p w14:paraId="085EED50" w14:textId="77777777" w:rsidR="00125C72" w:rsidRPr="00DD258A" w:rsidRDefault="00125C72" w:rsidP="00E04C53"/>
    <w:p w14:paraId="3CC2D17B" w14:textId="77777777" w:rsidR="00DE4435" w:rsidRPr="00DD258A" w:rsidRDefault="00DE4435" w:rsidP="00E04C53">
      <w:pPr>
        <w:pStyle w:val="Listeafsnit"/>
        <w:numPr>
          <w:ilvl w:val="0"/>
          <w:numId w:val="6"/>
        </w:numPr>
      </w:pPr>
      <w:r w:rsidRPr="00DD258A">
        <w:t>Vordingborg Kommune</w:t>
      </w:r>
    </w:p>
    <w:p w14:paraId="18EB3719" w14:textId="77777777" w:rsidR="00DE4435" w:rsidRPr="00DD258A" w:rsidRDefault="00DE4435" w:rsidP="00E04C53">
      <w:pPr>
        <w:pStyle w:val="Listeafsnit"/>
        <w:numPr>
          <w:ilvl w:val="0"/>
          <w:numId w:val="6"/>
        </w:numPr>
      </w:pPr>
      <w:r w:rsidRPr="00DD258A">
        <w:t>Faxe Kommune</w:t>
      </w:r>
    </w:p>
    <w:p w14:paraId="12AD84A4" w14:textId="77777777" w:rsidR="00DE4435" w:rsidRPr="00DD258A" w:rsidRDefault="00DE4435" w:rsidP="00E04C53">
      <w:pPr>
        <w:pStyle w:val="Listeafsnit"/>
        <w:numPr>
          <w:ilvl w:val="0"/>
          <w:numId w:val="6"/>
        </w:numPr>
      </w:pPr>
      <w:r w:rsidRPr="00DD258A">
        <w:t>Næstved Kommune</w:t>
      </w:r>
    </w:p>
    <w:p w14:paraId="25C630CA" w14:textId="77777777" w:rsidR="00DE4435" w:rsidRPr="00DD258A" w:rsidRDefault="00DE4435" w:rsidP="00E04C53">
      <w:pPr>
        <w:pStyle w:val="Listeafsnit"/>
        <w:numPr>
          <w:ilvl w:val="0"/>
          <w:numId w:val="6"/>
        </w:numPr>
      </w:pPr>
      <w:r w:rsidRPr="00DD258A">
        <w:t>Ringsted Kommune</w:t>
      </w:r>
    </w:p>
    <w:p w14:paraId="3F4A8B7A" w14:textId="77777777" w:rsidR="00DE4435" w:rsidRPr="00DD258A" w:rsidRDefault="00DE4435" w:rsidP="00E04C53">
      <w:pPr>
        <w:pStyle w:val="Listeafsnit"/>
        <w:numPr>
          <w:ilvl w:val="0"/>
          <w:numId w:val="6"/>
        </w:numPr>
      </w:pPr>
      <w:r w:rsidRPr="00DD258A">
        <w:t>Slagelse Kommune</w:t>
      </w:r>
    </w:p>
    <w:p w14:paraId="29D595D9" w14:textId="77777777" w:rsidR="00DE4435" w:rsidRPr="00DD258A" w:rsidRDefault="00DE4435" w:rsidP="00E04C53">
      <w:pPr>
        <w:pStyle w:val="Listeafsnit"/>
        <w:numPr>
          <w:ilvl w:val="0"/>
          <w:numId w:val="6"/>
        </w:numPr>
      </w:pPr>
      <w:r w:rsidRPr="00DD258A">
        <w:t>S</w:t>
      </w:r>
      <w:r w:rsidR="00E04C53" w:rsidRPr="00DD258A">
        <w:t>orø</w:t>
      </w:r>
      <w:r w:rsidRPr="00DD258A">
        <w:t xml:space="preserve"> Kommune</w:t>
      </w:r>
    </w:p>
    <w:p w14:paraId="01E26719" w14:textId="77777777" w:rsidR="00E04C53" w:rsidRPr="00DD258A" w:rsidRDefault="00E04C53" w:rsidP="00E04C53"/>
    <w:p w14:paraId="6599E593" w14:textId="77777777" w:rsidR="00DE4435" w:rsidRPr="00DD258A" w:rsidRDefault="00DE4435" w:rsidP="00E04C53">
      <w:r w:rsidRPr="00DD258A">
        <w:t>Virksomheden skal betale pr. besøg. Desuden skal virksomheden betale særskilt for aflevering</w:t>
      </w:r>
      <w:r w:rsidR="00E04C53" w:rsidRPr="00DD258A">
        <w:t xml:space="preserve"> </w:t>
      </w:r>
      <w:r w:rsidRPr="00DD258A">
        <w:t>af farligt affald.</w:t>
      </w:r>
    </w:p>
    <w:p w14:paraId="5C091AC9" w14:textId="77777777" w:rsidR="00E04C53" w:rsidRPr="00DD258A" w:rsidRDefault="00E04C53" w:rsidP="00E04C53"/>
    <w:p w14:paraId="64556E74" w14:textId="77777777" w:rsidR="00DE4435" w:rsidRPr="00DD258A" w:rsidRDefault="00DE4435" w:rsidP="00E04C53">
      <w:r w:rsidRPr="00DD258A">
        <w:t>På genbrugspladserne kan virksomheden aflevere de affaldsfraktioner som den enkelte genbrugsplads</w:t>
      </w:r>
      <w:r w:rsidR="00E04C53" w:rsidRPr="00DD258A">
        <w:t xml:space="preserve"> </w:t>
      </w:r>
      <w:r w:rsidRPr="00DD258A">
        <w:t>har kapacitet til at modtage. Det kan variere hvilke affaldsfraktioner og hvor store</w:t>
      </w:r>
      <w:r w:rsidR="00E04C53" w:rsidRPr="00DD258A">
        <w:t xml:space="preserve"> </w:t>
      </w:r>
      <w:r w:rsidRPr="00DD258A">
        <w:t>mængder affald, der er kapacitet til at modtage på en genbrugsplads. Ved manglende kapac</w:t>
      </w:r>
      <w:r w:rsidR="00E04C53" w:rsidRPr="00DD258A">
        <w:t>i</w:t>
      </w:r>
      <w:r w:rsidRPr="00DD258A">
        <w:t>tet</w:t>
      </w:r>
      <w:r w:rsidR="00E04C53" w:rsidRPr="00DD258A">
        <w:t xml:space="preserve"> </w:t>
      </w:r>
      <w:r w:rsidRPr="00DD258A">
        <w:t xml:space="preserve">anviser eller henviser </w:t>
      </w:r>
      <w:r w:rsidR="00FD2861" w:rsidRPr="00DD258A">
        <w:t>Vordingborg Kommune</w:t>
      </w:r>
      <w:r w:rsidRPr="00DD258A">
        <w:t xml:space="preserve"> til anden tilsvarende håndtering.</w:t>
      </w:r>
    </w:p>
    <w:p w14:paraId="3C7B4563" w14:textId="77777777" w:rsidR="00E04C53" w:rsidRPr="00DD258A" w:rsidRDefault="00E04C53" w:rsidP="00E04C53"/>
    <w:p w14:paraId="6021BA5C" w14:textId="77777777" w:rsidR="00DE4435" w:rsidRPr="00DD258A" w:rsidRDefault="00DE4435" w:rsidP="00E04C53">
      <w:r w:rsidRPr="00DD258A">
        <w:t>Nogle genbrugspladser modtager kun haveaffald. Disse pladser kaldes haveaffaldspladser, men</w:t>
      </w:r>
      <w:r w:rsidR="00E04C53" w:rsidRPr="00DD258A">
        <w:t xml:space="preserve"> </w:t>
      </w:r>
      <w:r w:rsidRPr="00DD258A">
        <w:t>er trods kaldenavnet en del af genbrugspladsordningen.</w:t>
      </w:r>
    </w:p>
    <w:p w14:paraId="08F73BA2" w14:textId="77777777" w:rsidR="00E04C53" w:rsidRPr="00DD258A" w:rsidRDefault="00E04C53" w:rsidP="00E04C53"/>
    <w:p w14:paraId="0FB77206" w14:textId="77777777" w:rsidR="00DE4435" w:rsidRPr="00DD258A" w:rsidRDefault="00DE4435" w:rsidP="00E04C53">
      <w:r w:rsidRPr="00DD258A">
        <w:t>Virksomheder har efter affaldsbekendtgørelsen adgang til genbrugspladserne i indregistrerede</w:t>
      </w:r>
      <w:r w:rsidR="00E04C53" w:rsidRPr="00DD258A">
        <w:t xml:space="preserve"> </w:t>
      </w:r>
      <w:r w:rsidRPr="00DD258A">
        <w:t>køretøjer med en tilladt totalvægt på maksimalt 3.500 kg og med en på køretøjet monteret</w:t>
      </w:r>
      <w:r w:rsidR="00E04C53" w:rsidRPr="00DD258A">
        <w:t xml:space="preserve"> </w:t>
      </w:r>
      <w:r w:rsidRPr="00DD258A">
        <w:t>trailer.</w:t>
      </w:r>
    </w:p>
    <w:p w14:paraId="0B9DFE30" w14:textId="77777777" w:rsidR="00E04C53" w:rsidRPr="00DD258A" w:rsidRDefault="00E04C53" w:rsidP="00DE4435">
      <w:pPr>
        <w:autoSpaceDE w:val="0"/>
        <w:autoSpaceDN w:val="0"/>
        <w:adjustRightInd w:val="0"/>
        <w:spacing w:line="240" w:lineRule="auto"/>
        <w:rPr>
          <w:rFonts w:ascii="Verdana" w:hAnsi="Verdana" w:cs="Verdana"/>
          <w:sz w:val="20"/>
          <w:szCs w:val="20"/>
        </w:rPr>
      </w:pPr>
    </w:p>
    <w:p w14:paraId="472D3F25" w14:textId="77777777" w:rsidR="00DE4435" w:rsidRPr="00DD258A" w:rsidRDefault="00DE4435" w:rsidP="00DE4435">
      <w:pPr>
        <w:autoSpaceDE w:val="0"/>
        <w:autoSpaceDN w:val="0"/>
        <w:adjustRightInd w:val="0"/>
        <w:spacing w:line="240" w:lineRule="auto"/>
        <w:rPr>
          <w:rFonts w:ascii="Verdana" w:hAnsi="Verdana" w:cs="Verdana"/>
          <w:b/>
          <w:bCs/>
          <w:sz w:val="29"/>
          <w:szCs w:val="29"/>
        </w:rPr>
      </w:pPr>
      <w:r w:rsidRPr="00DD258A">
        <w:rPr>
          <w:rFonts w:ascii="Verdana" w:hAnsi="Verdana" w:cs="Verdana"/>
          <w:b/>
          <w:bCs/>
          <w:sz w:val="29"/>
          <w:szCs w:val="29"/>
        </w:rPr>
        <w:t>§11.3 Sortering på genbrugspladserne</w:t>
      </w:r>
    </w:p>
    <w:p w14:paraId="2DDC41C3" w14:textId="77777777" w:rsidR="00E04C53" w:rsidRPr="00DD258A" w:rsidRDefault="00E04C53" w:rsidP="00E04C53"/>
    <w:p w14:paraId="75D3AF14" w14:textId="77777777" w:rsidR="00DE4435" w:rsidRPr="00DD258A" w:rsidRDefault="00DE4435" w:rsidP="00E04C53">
      <w:r w:rsidRPr="00DD258A">
        <w:t>Virksomheden er forpligtet til at sortere i overensstemmelse med de affaldsfraktioner, der kan</w:t>
      </w:r>
      <w:r w:rsidR="00E04C53" w:rsidRPr="00DD258A">
        <w:t xml:space="preserve"> </w:t>
      </w:r>
      <w:r w:rsidRPr="00DD258A">
        <w:t>modtages på genbrugspladsen.</w:t>
      </w:r>
    </w:p>
    <w:p w14:paraId="54F078EB" w14:textId="77777777" w:rsidR="00E04C53" w:rsidRPr="00DD258A" w:rsidRDefault="00E04C53" w:rsidP="00E04C53"/>
    <w:p w14:paraId="285BA384" w14:textId="77777777" w:rsidR="00DE4435" w:rsidRPr="00DD258A" w:rsidRDefault="00DE4435" w:rsidP="00E04C53">
      <w:r w:rsidRPr="00DD258A">
        <w:t>Virksomheden er forpligtet til ved egen foranstaltning at anbringe det sorterede affald i de containere</w:t>
      </w:r>
      <w:r w:rsidR="00E04C53" w:rsidRPr="00DD258A">
        <w:t xml:space="preserve"> </w:t>
      </w:r>
      <w:r w:rsidRPr="00DD258A">
        <w:t>eller båse, som findes på pladsen til det pågældende affald.</w:t>
      </w:r>
    </w:p>
    <w:p w14:paraId="5E9CD81E" w14:textId="77777777" w:rsidR="00E04C53" w:rsidRPr="00DD258A" w:rsidRDefault="00E04C53" w:rsidP="00E04C53"/>
    <w:p w14:paraId="421BD695" w14:textId="77777777" w:rsidR="00DE4435" w:rsidRPr="00DD258A" w:rsidRDefault="00DE4435" w:rsidP="00E04C53">
      <w:r w:rsidRPr="00DD258A">
        <w:t>Virksomheden skal i øvrigt efterkomme de instrukser for sortering, der gives af pladspersonalet.</w:t>
      </w:r>
    </w:p>
    <w:p w14:paraId="4103EA3F" w14:textId="77777777" w:rsidR="00E04C53" w:rsidRPr="00DD258A" w:rsidRDefault="00E04C53" w:rsidP="00E04C53"/>
    <w:p w14:paraId="4E3E3DBD" w14:textId="77777777" w:rsidR="00DE4435" w:rsidRPr="00DD258A" w:rsidRDefault="00DE4435" w:rsidP="00E04C53">
      <w:r w:rsidRPr="00DD258A">
        <w:t>Ved emballering af affald, der afleveres på genbrugspladserne, skal der efter affaldsbekendtgørelsen</w:t>
      </w:r>
      <w:r w:rsidR="00E04C53" w:rsidRPr="00DD258A">
        <w:t xml:space="preserve"> </w:t>
      </w:r>
      <w:r w:rsidRPr="00DD258A">
        <w:t>anvendes klare plastsække. Dette for at indholdet tydeligt kan ses af personalet på</w:t>
      </w:r>
      <w:r w:rsidR="00E04C53" w:rsidRPr="00DD258A">
        <w:t xml:space="preserve"> </w:t>
      </w:r>
      <w:r w:rsidRPr="00DD258A">
        <w:t>genbrugspladserne.</w:t>
      </w:r>
    </w:p>
    <w:p w14:paraId="44D3671B" w14:textId="77777777" w:rsidR="00E04C53" w:rsidRPr="00DD258A" w:rsidRDefault="00E04C53" w:rsidP="00E04C53"/>
    <w:p w14:paraId="7D2762C7" w14:textId="77777777" w:rsidR="00DE4435" w:rsidRPr="00DD258A" w:rsidRDefault="00DE4435" w:rsidP="00E04C53">
      <w:r w:rsidRPr="00DD258A">
        <w:t>Ordensreglementet for genbrugspladserne skal følges.</w:t>
      </w:r>
    </w:p>
    <w:p w14:paraId="6B0562AD" w14:textId="77777777" w:rsidR="00E04C53" w:rsidRPr="00DD258A" w:rsidRDefault="00E04C53" w:rsidP="00E04C53"/>
    <w:p w14:paraId="48A786C0" w14:textId="77777777" w:rsidR="00DE4435" w:rsidRPr="00DD258A" w:rsidRDefault="00DE4435" w:rsidP="00DE4435">
      <w:pPr>
        <w:autoSpaceDE w:val="0"/>
        <w:autoSpaceDN w:val="0"/>
        <w:adjustRightInd w:val="0"/>
        <w:spacing w:line="240" w:lineRule="auto"/>
        <w:rPr>
          <w:rFonts w:ascii="Verdana" w:hAnsi="Verdana" w:cs="Verdana"/>
          <w:b/>
          <w:bCs/>
        </w:rPr>
      </w:pPr>
      <w:r w:rsidRPr="00DD258A">
        <w:rPr>
          <w:rFonts w:ascii="Verdana" w:hAnsi="Verdana" w:cs="Verdana"/>
          <w:b/>
          <w:bCs/>
        </w:rPr>
        <w:t>§11.4 Vægtbegrænsning</w:t>
      </w:r>
    </w:p>
    <w:p w14:paraId="5DE94FFC" w14:textId="77777777" w:rsidR="00E04C53" w:rsidRPr="00DD258A" w:rsidRDefault="00E04C53" w:rsidP="00DE4435">
      <w:pPr>
        <w:autoSpaceDE w:val="0"/>
        <w:autoSpaceDN w:val="0"/>
        <w:adjustRightInd w:val="0"/>
        <w:spacing w:line="240" w:lineRule="auto"/>
        <w:rPr>
          <w:rFonts w:ascii="Verdana" w:hAnsi="Verdana" w:cs="Verdana"/>
          <w:sz w:val="20"/>
          <w:szCs w:val="20"/>
        </w:rPr>
      </w:pPr>
    </w:p>
    <w:p w14:paraId="5AAE6763" w14:textId="0AC23E8F" w:rsidR="00DE4435" w:rsidRPr="00DD258A" w:rsidRDefault="00DE4435" w:rsidP="00E04C53">
      <w:r w:rsidRPr="00DD258A">
        <w:t>Den enkelte virksomhed må efter affaldsbekendtgørelsen maksimalt aflevere 200 kg farligt affald</w:t>
      </w:r>
      <w:r w:rsidR="00E04C53" w:rsidRPr="00DD258A">
        <w:t xml:space="preserve"> </w:t>
      </w:r>
      <w:r w:rsidRPr="00DD258A">
        <w:t>om året på genbrugspladserne</w:t>
      </w:r>
      <w:r w:rsidR="00B24DEC">
        <w:t>, og maksimalt 2 x 25 kg. farligt affald pr. dag</w:t>
      </w:r>
      <w:r w:rsidRPr="00DD258A">
        <w:t>. Dette gælder dog ikke bærbare batterier og akkumulatorer,</w:t>
      </w:r>
      <w:r w:rsidR="00E04C53" w:rsidRPr="00DD258A">
        <w:t xml:space="preserve"> </w:t>
      </w:r>
      <w:r w:rsidRPr="00DD258A">
        <w:t>som defineret i batteribekendtgørelsen, samt affald af elektrisk og elektronisk udstyr fra</w:t>
      </w:r>
      <w:r w:rsidR="00E04C53" w:rsidRPr="00DD258A">
        <w:t xml:space="preserve"> </w:t>
      </w:r>
      <w:r w:rsidRPr="00DD258A">
        <w:t>husholdninger omfattet af producentansvar, som defineret i elektronikaffaldsbekendtgørelsen.</w:t>
      </w:r>
    </w:p>
    <w:p w14:paraId="6FC12FEE" w14:textId="77777777" w:rsidR="00E04C53" w:rsidRPr="00DD258A" w:rsidRDefault="00E04C53" w:rsidP="00E04C53"/>
    <w:p w14:paraId="6158BE09" w14:textId="6DEEB25B" w:rsidR="00E04C53" w:rsidRPr="00DD258A" w:rsidRDefault="00DE4435" w:rsidP="00E04C53">
      <w:r w:rsidRPr="00DD258A">
        <w:lastRenderedPageBreak/>
        <w:t>Kommunalbestyrelsen udsteder efter affalds</w:t>
      </w:r>
      <w:r w:rsidR="00B24DEC">
        <w:t>aktør</w:t>
      </w:r>
      <w:r w:rsidRPr="00DD258A">
        <w:t>bekendtgørelsen kvittering for det modtagne farlige</w:t>
      </w:r>
      <w:r w:rsidR="00E04C53" w:rsidRPr="00DD258A">
        <w:t xml:space="preserve"> </w:t>
      </w:r>
      <w:r w:rsidRPr="00DD258A">
        <w:t>affald.</w:t>
      </w:r>
    </w:p>
    <w:p w14:paraId="247F53C9" w14:textId="77777777" w:rsidR="00E04C53" w:rsidRPr="00DD258A" w:rsidRDefault="00E04C53">
      <w:pPr>
        <w:spacing w:after="200"/>
      </w:pPr>
      <w:r w:rsidRPr="00DD258A">
        <w:br w:type="page"/>
      </w:r>
    </w:p>
    <w:p w14:paraId="43BE0ACE" w14:textId="77777777" w:rsidR="00E04C53" w:rsidRPr="00DD258A" w:rsidRDefault="00E04C53" w:rsidP="006611A1">
      <w:pPr>
        <w:pStyle w:val="Overskrift1"/>
      </w:pPr>
      <w:bookmarkStart w:id="11" w:name="_Toc178844974"/>
      <w:r w:rsidRPr="00DD258A">
        <w:lastRenderedPageBreak/>
        <w:t>Ordning for ikke-genanvendeligt farligt affald</w:t>
      </w:r>
      <w:bookmarkEnd w:id="11"/>
    </w:p>
    <w:p w14:paraId="6CB150EF" w14:textId="77777777" w:rsidR="00E04C53" w:rsidRPr="00DD258A" w:rsidRDefault="00E04C53" w:rsidP="00E04C53"/>
    <w:p w14:paraId="697AC154" w14:textId="77777777" w:rsidR="00E04C53" w:rsidRPr="00DD258A" w:rsidRDefault="00E04C53" w:rsidP="006611A1">
      <w:pPr>
        <w:pStyle w:val="Overskrift2"/>
        <w:rPr>
          <w:color w:val="auto"/>
        </w:rPr>
      </w:pPr>
      <w:r w:rsidRPr="00DD258A">
        <w:rPr>
          <w:color w:val="auto"/>
        </w:rPr>
        <w:t>§12.1 Hvad er ikke-genanvendeligt farligt affald</w:t>
      </w:r>
    </w:p>
    <w:p w14:paraId="2557B1EC" w14:textId="77777777" w:rsidR="00E04C53" w:rsidRPr="00DD258A" w:rsidRDefault="00E04C53" w:rsidP="00E04C53"/>
    <w:p w14:paraId="30516E9F" w14:textId="77777777" w:rsidR="00E04C53" w:rsidRPr="00DD258A" w:rsidRDefault="00E04C53" w:rsidP="00E04C53">
      <w:r w:rsidRPr="00DD258A">
        <w:t>Ikke-genanvendeligt farligt affald er affald, der er omfattet af definitionen af farligt af</w:t>
      </w:r>
      <w:r w:rsidR="00125C72" w:rsidRPr="00DD258A">
        <w:t>fald i af</w:t>
      </w:r>
      <w:r w:rsidRPr="00DD258A">
        <w:t>faldsbekendtgørelsen, og som er ikke-genanvendeligt, bortset fra eksplosivt affald.</w:t>
      </w:r>
    </w:p>
    <w:p w14:paraId="3F0D92F8" w14:textId="77777777" w:rsidR="00E04C53" w:rsidRPr="00DD258A" w:rsidRDefault="00E04C53" w:rsidP="00E04C53"/>
    <w:p w14:paraId="06CBF955" w14:textId="77777777" w:rsidR="00E04C53" w:rsidRPr="00DD258A" w:rsidRDefault="00E04C53" w:rsidP="006611A1">
      <w:pPr>
        <w:pStyle w:val="Overskrift2"/>
        <w:rPr>
          <w:color w:val="auto"/>
        </w:rPr>
      </w:pPr>
      <w:r w:rsidRPr="00DD258A">
        <w:rPr>
          <w:color w:val="auto"/>
        </w:rPr>
        <w:t>§ 12.2 Hvem gælder ordningen for</w:t>
      </w:r>
    </w:p>
    <w:p w14:paraId="5A28DF0F" w14:textId="77777777" w:rsidR="00E04C53" w:rsidRPr="00DD258A" w:rsidRDefault="00E04C53" w:rsidP="00E04C53"/>
    <w:p w14:paraId="6D023097" w14:textId="77777777" w:rsidR="00E04C53" w:rsidRPr="00DD258A" w:rsidRDefault="00E04C53" w:rsidP="00E04C53">
      <w:r w:rsidRPr="00DD258A">
        <w:t xml:space="preserve">Ordningen for ikke-genanvendeligt farligt affald gælder for alle virksomheder i </w:t>
      </w:r>
      <w:r w:rsidR="00FD2861" w:rsidRPr="00DD258A">
        <w:t>Vordingborg Kommune</w:t>
      </w:r>
      <w:r w:rsidRPr="00DD258A">
        <w:t>.</w:t>
      </w:r>
    </w:p>
    <w:p w14:paraId="080F1183" w14:textId="77777777" w:rsidR="00E04C53" w:rsidRPr="00DD258A" w:rsidRDefault="00E04C53" w:rsidP="00E04C53"/>
    <w:p w14:paraId="451F7D6C" w14:textId="77777777" w:rsidR="00E04C53" w:rsidRPr="00DD258A" w:rsidRDefault="00E04C53" w:rsidP="00E04C53">
      <w:r w:rsidRPr="00DD258A">
        <w:t>Virksomheden kan</w:t>
      </w:r>
      <w:r w:rsidR="00CE7572" w:rsidRPr="00DD258A">
        <w:t xml:space="preserve"> </w:t>
      </w:r>
      <w:r w:rsidRPr="00DD258A">
        <w:t>vælge at benytte genbrugspladsordningen omfattet af § 11 frem for at benytte denne ordning for ikke-genanvendeligt farligt affald. Brugen af genbrugspladserne forudsætter imidlertid at virksomhedens ikke-genanvendelige farlige affald i mængde og karakter kan modtages på en genbrugsplads.</w:t>
      </w:r>
    </w:p>
    <w:p w14:paraId="641B5FDD" w14:textId="77777777" w:rsidR="00E04C53" w:rsidRPr="00DD258A" w:rsidRDefault="00E04C53" w:rsidP="00E04C53"/>
    <w:p w14:paraId="09399401" w14:textId="77777777" w:rsidR="00E04C53" w:rsidRPr="00DD258A" w:rsidRDefault="00E04C53" w:rsidP="006611A1">
      <w:pPr>
        <w:pStyle w:val="Overskrift2"/>
        <w:rPr>
          <w:color w:val="auto"/>
        </w:rPr>
      </w:pPr>
      <w:r w:rsidRPr="00DD258A">
        <w:rPr>
          <w:color w:val="auto"/>
        </w:rPr>
        <w:t>§12.3 Beskrivelse af ordningen</w:t>
      </w:r>
    </w:p>
    <w:p w14:paraId="00EFA15D" w14:textId="77777777" w:rsidR="00E04C53" w:rsidRPr="00DD258A" w:rsidRDefault="00E04C53" w:rsidP="00E04C53"/>
    <w:p w14:paraId="040E2CB4" w14:textId="77777777" w:rsidR="00E04C53" w:rsidRPr="00DD258A" w:rsidRDefault="00E04C53" w:rsidP="00E04C53">
      <w:r w:rsidRPr="00DD258A">
        <w:t>Ordningen for ikke-genanvendeligt farligt affald er en anvisningsordning.</w:t>
      </w:r>
    </w:p>
    <w:p w14:paraId="2ED5A68C" w14:textId="77777777" w:rsidR="00E04C53" w:rsidRPr="00DD258A" w:rsidRDefault="00E04C53" w:rsidP="00E04C53"/>
    <w:p w14:paraId="55630DD3" w14:textId="77777777" w:rsidR="00E04C53" w:rsidRPr="00DD258A" w:rsidRDefault="00E04C53" w:rsidP="00F23B4F">
      <w:pPr>
        <w:pStyle w:val="Normaloverskrift"/>
      </w:pPr>
      <w:r w:rsidRPr="00DD258A">
        <w:t>Anvisning</w:t>
      </w:r>
    </w:p>
    <w:p w14:paraId="541644B6" w14:textId="77777777" w:rsidR="00E04C53" w:rsidRPr="00DD258A" w:rsidRDefault="00E04C53" w:rsidP="00E04C53">
      <w:r w:rsidRPr="00DD258A">
        <w:t>Ikke-genanvendeligt farligt affald anvises til affaldsbehandlingsanlæg, som har en miljøgodkendelse efter Miljøbeskyttelseslovens § 33, og som er godkendt til at modtage den pågældende affaldstype bestemt ved EAK-kode.</w:t>
      </w:r>
    </w:p>
    <w:p w14:paraId="7556CF3C" w14:textId="77777777" w:rsidR="00E04C53" w:rsidRPr="00DD258A" w:rsidRDefault="00E04C53" w:rsidP="00E04C53"/>
    <w:p w14:paraId="1E5917D3" w14:textId="77777777" w:rsidR="00E04C53" w:rsidRPr="00DD258A" w:rsidRDefault="00E04C53" w:rsidP="00F23B4F">
      <w:pPr>
        <w:pStyle w:val="Normaloverskrift"/>
      </w:pPr>
      <w:r w:rsidRPr="00DD258A">
        <w:t>Sortering</w:t>
      </w:r>
    </w:p>
    <w:p w14:paraId="5AF3CA33" w14:textId="3B735455" w:rsidR="00E04C53" w:rsidRPr="00DD258A" w:rsidRDefault="00E04C53" w:rsidP="00E04C53">
      <w:r w:rsidRPr="00DD258A">
        <w:t>Virksomheden er underlagt affaldsbekendtgørelsens bestemmelser om at kildesortere og at sikre, at virksomhedens kildesorterede affald forberedes til genbrug, genanvendes eller anvendes til anden endelig materialenyttiggørelse (§§ 6</w:t>
      </w:r>
      <w:r w:rsidR="001608A6">
        <w:t>0-</w:t>
      </w:r>
      <w:r w:rsidRPr="00DD258A">
        <w:t xml:space="preserve"> 6</w:t>
      </w:r>
      <w:r w:rsidR="001608A6">
        <w:t>3</w:t>
      </w:r>
      <w:r w:rsidRPr="00DD258A">
        <w:t>).</w:t>
      </w:r>
    </w:p>
    <w:p w14:paraId="55A0EA7B" w14:textId="77777777" w:rsidR="00E04C53" w:rsidRPr="00DD258A" w:rsidRDefault="00E04C53" w:rsidP="00E04C53"/>
    <w:p w14:paraId="1950565D" w14:textId="77777777" w:rsidR="00E04C53" w:rsidRPr="00DD258A" w:rsidRDefault="00E04C53" w:rsidP="00F23B4F">
      <w:pPr>
        <w:pStyle w:val="Normaloverskrift"/>
      </w:pPr>
      <w:r w:rsidRPr="00DD258A">
        <w:t>Opbevaring af affaldet</w:t>
      </w:r>
    </w:p>
    <w:p w14:paraId="3A0DF3EB" w14:textId="77777777" w:rsidR="00E04C53" w:rsidRPr="00DD258A" w:rsidRDefault="00E04C53" w:rsidP="00E04C53">
      <w:r w:rsidRPr="00DD258A">
        <w:t>Virksomheden skal sikre, at der er tilstrækkeligt og egnet opsamlingsmateriel til forsvarlig opbevaring af det ikke-genanvendelige farlige affald på virksomheden. Opsamlingsmateriel skal være mærket med en tekst, der entydigt angiver, hvilken affaldsfraktion opsamlingsmateriellet indeholder.</w:t>
      </w:r>
    </w:p>
    <w:p w14:paraId="445358CF" w14:textId="77777777" w:rsidR="00E04C53" w:rsidRPr="00DD258A" w:rsidRDefault="00E04C53" w:rsidP="00E04C53"/>
    <w:p w14:paraId="4C82E041" w14:textId="77777777" w:rsidR="00E04C53" w:rsidRPr="00DD258A" w:rsidRDefault="00E04C53" w:rsidP="00E04C53">
      <w:r w:rsidRPr="00DD258A">
        <w:t>Opbevaringen af det ikke-genanvendelige affald skal i øvrigt ske på en måde så risikoen for udslip eller spild minimeres.</w:t>
      </w:r>
    </w:p>
    <w:p w14:paraId="53E1FC66" w14:textId="77777777" w:rsidR="00E04C53" w:rsidRPr="00DD258A" w:rsidRDefault="00E04C53" w:rsidP="00E04C53"/>
    <w:p w14:paraId="1F9CA647" w14:textId="77777777" w:rsidR="00E04C53" w:rsidRPr="00DD258A" w:rsidRDefault="00E04C53" w:rsidP="00E04C53">
      <w:r w:rsidRPr="00DD258A">
        <w:t xml:space="preserve">Virksomheden må maksimalt opbevare det ikke-genanvendelige farlige affald på virksomheden i ét år. </w:t>
      </w:r>
    </w:p>
    <w:p w14:paraId="57A3C7BC" w14:textId="77777777" w:rsidR="00E04C53" w:rsidRPr="00DD258A" w:rsidRDefault="00E04C53" w:rsidP="00E04C53"/>
    <w:p w14:paraId="41325E40" w14:textId="77777777" w:rsidR="00E04C53" w:rsidRPr="00DD258A" w:rsidRDefault="00E04C53" w:rsidP="00F23B4F">
      <w:pPr>
        <w:pStyle w:val="Normaloverskrift"/>
      </w:pPr>
      <w:r w:rsidRPr="00DD258A">
        <w:lastRenderedPageBreak/>
        <w:t>Transport</w:t>
      </w:r>
    </w:p>
    <w:p w14:paraId="445686C1" w14:textId="77777777" w:rsidR="00E04C53" w:rsidRPr="00DD258A" w:rsidRDefault="00E04C53" w:rsidP="00E04C53">
      <w:r w:rsidRPr="00DD258A">
        <w:t>Virksomheden kan, under iagttagelse af de til enhver tid gældende forskrifter herfor, selv transportere det ikke-genanvendelige farlige affald til et af de anviste affaldsbehandlingsanlæg eller lade det ikke-genanvendelige farlige affald transportere af en virksomhed, som er registreret i Affaldsregistret.</w:t>
      </w:r>
    </w:p>
    <w:p w14:paraId="467C7B38" w14:textId="77777777" w:rsidR="00E04C53" w:rsidRPr="00DD258A" w:rsidRDefault="00E04C53" w:rsidP="00E04C53"/>
    <w:p w14:paraId="308FFCC5" w14:textId="77777777" w:rsidR="00E04C53" w:rsidRPr="00DD258A" w:rsidRDefault="00E04C53" w:rsidP="00F23B4F">
      <w:pPr>
        <w:pStyle w:val="Normaloverskrift"/>
      </w:pPr>
      <w:r w:rsidRPr="00DD258A">
        <w:t>Økonomi</w:t>
      </w:r>
    </w:p>
    <w:p w14:paraId="1EE0DAD9" w14:textId="77777777" w:rsidR="00E04C53" w:rsidRPr="00DD258A" w:rsidRDefault="00E04C53" w:rsidP="00E04C53">
      <w:r w:rsidRPr="00DD258A">
        <w:t>Afregning for håndtering af det ikke-genanvendelige farlige affald er kommunen uvedkommende og er et forhold mellem virksomheden og affaldstransportører, affaldsbehandlingsanlæg m.v.</w:t>
      </w:r>
    </w:p>
    <w:p w14:paraId="33388309" w14:textId="77777777" w:rsidR="00E04C53" w:rsidRPr="00DD258A" w:rsidRDefault="00E04C53" w:rsidP="00E04C53"/>
    <w:p w14:paraId="5B2CA357" w14:textId="77777777" w:rsidR="00E04C53" w:rsidRPr="00DD258A" w:rsidRDefault="00E04C53" w:rsidP="00E04C53"/>
    <w:p w14:paraId="5A832CCD" w14:textId="77777777" w:rsidR="00E04C53" w:rsidRPr="00DD258A" w:rsidRDefault="00E04C53" w:rsidP="00F23B4F">
      <w:pPr>
        <w:pStyle w:val="Normaloverskrift"/>
      </w:pPr>
      <w:r w:rsidRPr="00DD258A">
        <w:t>Øvrige bestemmelser</w:t>
      </w:r>
    </w:p>
    <w:p w14:paraId="755A9966" w14:textId="465192BC" w:rsidR="00E04C53" w:rsidRPr="00DD258A" w:rsidRDefault="00E04C53" w:rsidP="00E04C53">
      <w:r w:rsidRPr="00DD258A">
        <w:t>Mindre mængder af farligt affald (op til 200 kg pr. år</w:t>
      </w:r>
      <w:r w:rsidR="001608A6">
        <w:t xml:space="preserve"> og 2 x 25 kg. pr. dag</w:t>
      </w:r>
      <w:r w:rsidRPr="00DD258A">
        <w:t>) kan afleveres på genbrugspladserne jf. § 11. Mindre mængder skal afleveres efter behov, dog mindst 1 gang årligt.</w:t>
      </w:r>
    </w:p>
    <w:p w14:paraId="2FBBD198" w14:textId="77777777" w:rsidR="00E04C53" w:rsidRPr="00DD258A" w:rsidRDefault="00E04C53" w:rsidP="00E04C53"/>
    <w:p w14:paraId="536491A7" w14:textId="77777777" w:rsidR="00E04C53" w:rsidRPr="00DD258A" w:rsidRDefault="00E04C53" w:rsidP="00E04C53">
      <w:r w:rsidRPr="00DD258A">
        <w:t>Eksplosivt affald skal efter affaldsbekendtgørelsen håndteres miljømæssigt forsvarligt ved en godkendt affaldsmodtager.</w:t>
      </w:r>
    </w:p>
    <w:p w14:paraId="5434A0EA" w14:textId="77777777" w:rsidR="00E04C53" w:rsidRPr="00DD258A" w:rsidRDefault="00E04C53" w:rsidP="00E04C53"/>
    <w:p w14:paraId="020E0468" w14:textId="77777777" w:rsidR="00E04C53" w:rsidRPr="00DD258A" w:rsidRDefault="00E04C53" w:rsidP="00E04C53">
      <w:r w:rsidRPr="00DD258A">
        <w:t>Virksomheden skal efter affaldsbekendtgørelsen sikre, at farligt affald ikke fortyndes eller blandes med andre kategorier af farligt affald eller blandes med ikke-farligt affald.</w:t>
      </w:r>
    </w:p>
    <w:p w14:paraId="6ECBC3A0" w14:textId="77777777" w:rsidR="00E04C53" w:rsidRPr="00DD258A" w:rsidRDefault="00E04C53" w:rsidP="00E04C53"/>
    <w:p w14:paraId="1A1CB3A9" w14:textId="77777777" w:rsidR="001664C6" w:rsidRPr="00DD258A" w:rsidRDefault="00E04C53" w:rsidP="00E04C53">
      <w:r w:rsidRPr="00DD258A">
        <w:t>Virksomheden skal efter affaldsbekendtgørelsen sikre, at det farlige affald er forsvarligt emballeret.</w:t>
      </w:r>
      <w:r w:rsidR="00525401" w:rsidRPr="00DD258A">
        <w:t xml:space="preserve"> </w:t>
      </w:r>
    </w:p>
    <w:p w14:paraId="5A251F67" w14:textId="77777777" w:rsidR="001664C6" w:rsidRPr="00DD258A" w:rsidRDefault="001664C6" w:rsidP="00E04C53"/>
    <w:p w14:paraId="5D32976B" w14:textId="77777777" w:rsidR="00525401" w:rsidRPr="00DD258A" w:rsidRDefault="00E04C53" w:rsidP="00E04C53">
      <w:r w:rsidRPr="00DD258A">
        <w:t>Virksomheden skal efter miljøbeskyttelsesloven efter anmodning fra kommunalbestyrelsen tilvejebringe dokumentation for, at farligt affald er korrekt klassificeret i overensstemmelse med bilag om listen over affald (EAK-koder) og bilag om farligt affald i affaldsbekendtgørelsen.</w:t>
      </w:r>
    </w:p>
    <w:p w14:paraId="78E7DE60" w14:textId="77777777" w:rsidR="00525401" w:rsidRPr="00DD258A" w:rsidRDefault="00525401" w:rsidP="006611A1">
      <w:pPr>
        <w:pStyle w:val="Overskrift1"/>
      </w:pPr>
      <w:r w:rsidRPr="00DD258A">
        <w:br w:type="page"/>
      </w:r>
      <w:bookmarkStart w:id="12" w:name="_Toc178844975"/>
      <w:r w:rsidRPr="00DD258A">
        <w:lastRenderedPageBreak/>
        <w:t>Ordning for klinisk risikoaffald</w:t>
      </w:r>
      <w:bookmarkEnd w:id="12"/>
    </w:p>
    <w:p w14:paraId="724B0866" w14:textId="77777777" w:rsidR="00525401" w:rsidRPr="00DD258A" w:rsidRDefault="00525401" w:rsidP="00525401"/>
    <w:p w14:paraId="438E3740" w14:textId="77777777" w:rsidR="00525401" w:rsidRPr="00DD258A" w:rsidRDefault="00525401" w:rsidP="006611A1">
      <w:pPr>
        <w:pStyle w:val="Overskrift2"/>
        <w:rPr>
          <w:color w:val="auto"/>
        </w:rPr>
      </w:pPr>
      <w:r w:rsidRPr="00DD258A">
        <w:rPr>
          <w:color w:val="auto"/>
        </w:rPr>
        <w:t>§13.1 Hvad er klinisk risikoaffald</w:t>
      </w:r>
    </w:p>
    <w:p w14:paraId="41EA7861" w14:textId="77777777" w:rsidR="00525401" w:rsidRPr="00DD258A" w:rsidRDefault="00525401" w:rsidP="00525401"/>
    <w:p w14:paraId="5B18EAD1" w14:textId="4A0C0C3D" w:rsidR="00525401" w:rsidRPr="00DD258A" w:rsidRDefault="00525401" w:rsidP="00525401">
      <w:r w:rsidRPr="00DD258A">
        <w:t>Klinisk risikoaffald omfatter affald fra blandt andet sygehuse, fødeklinikker, behandlingsinstitutioner, hjemmeplejeordninger, læger, tandlægeklinikker og praktiserende jordmødre.</w:t>
      </w:r>
    </w:p>
    <w:p w14:paraId="65F53C00" w14:textId="77777777" w:rsidR="00525401" w:rsidRPr="00DD258A" w:rsidRDefault="00525401" w:rsidP="00525401"/>
    <w:p w14:paraId="0C0BB14E" w14:textId="77777777" w:rsidR="00525401" w:rsidRPr="00DD258A" w:rsidRDefault="00525401" w:rsidP="00525401">
      <w:r w:rsidRPr="00DD258A">
        <w:t>Klinisk risikoaffald er fx:</w:t>
      </w:r>
    </w:p>
    <w:p w14:paraId="379DC6FE" w14:textId="77777777" w:rsidR="00525401" w:rsidRPr="00DD258A" w:rsidRDefault="00525401" w:rsidP="00525401"/>
    <w:p w14:paraId="3AE7C6F4" w14:textId="24E1A84C" w:rsidR="00525401" w:rsidRPr="00DD258A" w:rsidRDefault="00525401" w:rsidP="00525401">
      <w:pPr>
        <w:pStyle w:val="Listeafsnit"/>
        <w:numPr>
          <w:ilvl w:val="0"/>
          <w:numId w:val="6"/>
        </w:numPr>
      </w:pPr>
      <w:r w:rsidRPr="00DD258A">
        <w:t>Skærende og stikkende genstande, som har været brugt i pat</w:t>
      </w:r>
      <w:r w:rsidR="00DD258A" w:rsidRPr="00DD258A">
        <w:t>ientpleje eller behandling, her</w:t>
      </w:r>
      <w:r w:rsidRPr="00DD258A">
        <w:t>under kanyler, knive, pincetter, laboratorieglasvarer forurenet med blod, pus og vævsvæsker</w:t>
      </w:r>
      <w:r w:rsidR="00B3754D">
        <w:t>.</w:t>
      </w:r>
    </w:p>
    <w:p w14:paraId="68C85FD2" w14:textId="5B3EAA6E" w:rsidR="00525401" w:rsidRPr="00DD258A" w:rsidRDefault="00525401" w:rsidP="00525401">
      <w:pPr>
        <w:pStyle w:val="Listeafsnit"/>
        <w:numPr>
          <w:ilvl w:val="0"/>
          <w:numId w:val="6"/>
        </w:numPr>
      </w:pPr>
      <w:r w:rsidRPr="00DD258A">
        <w:t>Smitteførende affald, som indeholder eller kan indeholde mikroorganismer fra diagnostik og behandling af patienter</w:t>
      </w:r>
      <w:r w:rsidR="00B3754D">
        <w:t>.</w:t>
      </w:r>
    </w:p>
    <w:p w14:paraId="6A10EBAE" w14:textId="77777777" w:rsidR="00525401" w:rsidRPr="00DD258A" w:rsidRDefault="00525401" w:rsidP="00525401">
      <w:pPr>
        <w:pStyle w:val="Listeafsnit"/>
        <w:numPr>
          <w:ilvl w:val="0"/>
          <w:numId w:val="6"/>
        </w:numPr>
      </w:pPr>
      <w:r w:rsidRPr="00DD258A">
        <w:t>Smitteførende affald fra forsøgsdyr.</w:t>
      </w:r>
    </w:p>
    <w:p w14:paraId="262E5DBC" w14:textId="77777777" w:rsidR="00525401" w:rsidRPr="00DD258A" w:rsidRDefault="00525401" w:rsidP="00525401"/>
    <w:p w14:paraId="5BCEC1DF" w14:textId="77777777" w:rsidR="00525401" w:rsidRPr="00DD258A" w:rsidRDefault="00525401" w:rsidP="00525401">
      <w:r w:rsidRPr="00DD258A">
        <w:t>Klinisk risikoaffald klassificeres som farligt affald.</w:t>
      </w:r>
    </w:p>
    <w:p w14:paraId="25F07A47" w14:textId="77777777" w:rsidR="00525401" w:rsidRPr="00DD258A" w:rsidRDefault="00525401" w:rsidP="00525401"/>
    <w:p w14:paraId="158FCFB6" w14:textId="77777777" w:rsidR="00525401" w:rsidRPr="00DD258A" w:rsidRDefault="00525401" w:rsidP="00525401">
      <w:r w:rsidRPr="00DD258A">
        <w:t>Andet affald fra den type virksomheder, der er nævnt ovenfor, er fx:</w:t>
      </w:r>
    </w:p>
    <w:p w14:paraId="49202B65" w14:textId="77777777" w:rsidR="00525401" w:rsidRPr="00DD258A" w:rsidRDefault="00525401" w:rsidP="00525401"/>
    <w:p w14:paraId="722D96F5" w14:textId="77777777" w:rsidR="00525401" w:rsidRPr="00DD258A" w:rsidRDefault="00525401" w:rsidP="00525401">
      <w:pPr>
        <w:pStyle w:val="Listeafsnit"/>
        <w:numPr>
          <w:ilvl w:val="0"/>
          <w:numId w:val="6"/>
        </w:numPr>
      </w:pPr>
      <w:r w:rsidRPr="00DD258A">
        <w:t>Cytotoksiske og cytostatiske lægemidler</w:t>
      </w:r>
    </w:p>
    <w:p w14:paraId="5A0529F7" w14:textId="77777777" w:rsidR="00525401" w:rsidRPr="00DD258A" w:rsidRDefault="00525401" w:rsidP="00525401">
      <w:pPr>
        <w:pStyle w:val="Listeafsnit"/>
        <w:numPr>
          <w:ilvl w:val="0"/>
          <w:numId w:val="6"/>
        </w:numPr>
      </w:pPr>
      <w:r w:rsidRPr="00DD258A">
        <w:t>Lægemidler, med farlige egenskaber i øvrigt</w:t>
      </w:r>
    </w:p>
    <w:p w14:paraId="1327D767" w14:textId="77777777" w:rsidR="00525401" w:rsidRPr="00DD258A" w:rsidRDefault="00525401" w:rsidP="00525401">
      <w:pPr>
        <w:pStyle w:val="Listeafsnit"/>
        <w:numPr>
          <w:ilvl w:val="0"/>
          <w:numId w:val="6"/>
        </w:numPr>
      </w:pPr>
      <w:r w:rsidRPr="00DD258A">
        <w:t>Amalgamaffald fra tandpleje</w:t>
      </w:r>
    </w:p>
    <w:p w14:paraId="7A7F48C1" w14:textId="77777777" w:rsidR="00525401" w:rsidRPr="00DD258A" w:rsidRDefault="00525401" w:rsidP="00525401">
      <w:pPr>
        <w:pStyle w:val="Listeafsnit"/>
        <w:numPr>
          <w:ilvl w:val="0"/>
          <w:numId w:val="6"/>
        </w:numPr>
      </w:pPr>
      <w:r w:rsidRPr="00DD258A">
        <w:t>Kemikalier bestående af eller indeholdende farlige stoffer</w:t>
      </w:r>
    </w:p>
    <w:p w14:paraId="0017191D" w14:textId="77777777" w:rsidR="00525401" w:rsidRPr="00DD258A" w:rsidRDefault="00525401" w:rsidP="00525401"/>
    <w:p w14:paraId="112B30E6" w14:textId="77777777" w:rsidR="00525401" w:rsidRPr="00DD258A" w:rsidRDefault="00525401" w:rsidP="00525401">
      <w:r w:rsidRPr="00DD258A">
        <w:t>Dette affald regnes ikke som klinisk risikoaffald, men som farligt affald i almindelighed.</w:t>
      </w:r>
    </w:p>
    <w:p w14:paraId="40FFA659" w14:textId="77777777" w:rsidR="00525401" w:rsidRPr="00DD258A" w:rsidRDefault="00525401" w:rsidP="00525401"/>
    <w:p w14:paraId="2A9D6DB5" w14:textId="3D27104A" w:rsidR="00525401" w:rsidRPr="00DD258A" w:rsidRDefault="00525401" w:rsidP="00525401">
      <w:r w:rsidRPr="00DD258A">
        <w:t>Desuden fremkommer der vævsaffald, i form af fx legemsdele og organer samt andet affald med biologisk materiale fx forbindinger, linned, engangsbeklædning, bleer m.v. fra denne type virksomheder. Vævsaffald og andet biologisk affald regnes som hovedregel ikke som klinisk risikoaffald, men skal håndteres som sådan, med mindre vævsaffaldet med sikkerhed ikke indeholder dele, der er klinisk risikoaffald. Vævsaffald skal håndteres, så der er sikkerhed for uigenkendelighed af affaldet efter behandling.</w:t>
      </w:r>
    </w:p>
    <w:p w14:paraId="7486840E" w14:textId="77777777" w:rsidR="00525401" w:rsidRPr="00DD258A" w:rsidRDefault="00525401" w:rsidP="00525401"/>
    <w:p w14:paraId="6784FBFA" w14:textId="77777777" w:rsidR="006C14BA" w:rsidRPr="00DD258A" w:rsidRDefault="000455CC" w:rsidP="006C14BA">
      <w:r w:rsidRPr="00DD258A">
        <w:t>K</w:t>
      </w:r>
      <w:r w:rsidR="006C14BA" w:rsidRPr="00DD258A">
        <w:t xml:space="preserve">anyler fra dyrehold, dyrlægepraksisser m.v. skal håndteres som </w:t>
      </w:r>
      <w:r w:rsidRPr="00DD258A">
        <w:t xml:space="preserve">klinisk risikoaffald. </w:t>
      </w:r>
      <w:r w:rsidRPr="00DD258A">
        <w:br/>
        <w:t>Rester af lægemidler fra dyrehold, dyrlægepraksisser m.v. skal håndteres som farligt affald</w:t>
      </w:r>
      <w:r w:rsidR="006C14BA" w:rsidRPr="00DD258A">
        <w:t>.</w:t>
      </w:r>
    </w:p>
    <w:p w14:paraId="73C39F6D" w14:textId="77777777" w:rsidR="006C14BA" w:rsidRPr="00DD258A" w:rsidRDefault="006C14BA" w:rsidP="00525401"/>
    <w:p w14:paraId="32C8113C" w14:textId="77777777" w:rsidR="00231D9B" w:rsidRPr="00DD258A" w:rsidRDefault="00231D9B" w:rsidP="00525401">
      <w:r w:rsidRPr="00DD258A">
        <w:t>Det er Vordingborg Kommune, der afgør, om affaldet er klinisk risikoaffald.</w:t>
      </w:r>
    </w:p>
    <w:p w14:paraId="4049EF5B" w14:textId="77777777" w:rsidR="006C14BA" w:rsidRPr="00DD258A" w:rsidRDefault="006C14BA" w:rsidP="00525401"/>
    <w:p w14:paraId="6F70579D" w14:textId="77777777" w:rsidR="00525401" w:rsidRPr="00DD258A" w:rsidRDefault="00525401" w:rsidP="006611A1">
      <w:pPr>
        <w:pStyle w:val="Overskrift2"/>
        <w:rPr>
          <w:color w:val="auto"/>
        </w:rPr>
      </w:pPr>
      <w:r w:rsidRPr="00DD258A">
        <w:rPr>
          <w:color w:val="auto"/>
        </w:rPr>
        <w:t>§13.2 Hvem gælder ordningen for</w:t>
      </w:r>
    </w:p>
    <w:p w14:paraId="43DE0EE8" w14:textId="77777777" w:rsidR="00525401" w:rsidRPr="00DD258A" w:rsidRDefault="00525401" w:rsidP="00525401"/>
    <w:p w14:paraId="38EEB146" w14:textId="77777777" w:rsidR="00525401" w:rsidRPr="00DD258A" w:rsidRDefault="00525401" w:rsidP="00525401">
      <w:r w:rsidRPr="00DD258A">
        <w:t xml:space="preserve">Ordningen for klinisk risikoaffald gælder for alle virksomheder i </w:t>
      </w:r>
      <w:r w:rsidR="00FD2861" w:rsidRPr="00DD258A">
        <w:t>Vordingborg Kommune</w:t>
      </w:r>
      <w:r w:rsidRPr="00DD258A">
        <w:t>.</w:t>
      </w:r>
    </w:p>
    <w:p w14:paraId="38139FD9" w14:textId="77777777" w:rsidR="00525401" w:rsidRPr="00DD258A" w:rsidRDefault="00525401" w:rsidP="00525401"/>
    <w:p w14:paraId="63E8245E" w14:textId="77777777" w:rsidR="00525401" w:rsidRPr="00DD258A" w:rsidRDefault="00525401" w:rsidP="006611A1">
      <w:pPr>
        <w:pStyle w:val="Overskrift2"/>
        <w:rPr>
          <w:color w:val="auto"/>
        </w:rPr>
      </w:pPr>
      <w:r w:rsidRPr="00DD258A">
        <w:rPr>
          <w:color w:val="auto"/>
        </w:rPr>
        <w:t>§13.3 Beskrivelse af ordningen</w:t>
      </w:r>
    </w:p>
    <w:p w14:paraId="5BC81080" w14:textId="77777777" w:rsidR="00525401" w:rsidRPr="00DD258A" w:rsidRDefault="00525401" w:rsidP="00525401"/>
    <w:p w14:paraId="252DDCFD" w14:textId="77777777" w:rsidR="00525401" w:rsidRPr="00DD258A" w:rsidRDefault="00525401" w:rsidP="00525401">
      <w:r w:rsidRPr="00DD258A">
        <w:t>Ordningen for klinisk risikoaffald er en anvisningsordning.</w:t>
      </w:r>
    </w:p>
    <w:p w14:paraId="6B838B42" w14:textId="77777777" w:rsidR="00C5702E" w:rsidRPr="00DD258A" w:rsidRDefault="00C5702E" w:rsidP="00525401"/>
    <w:p w14:paraId="30824968" w14:textId="77777777" w:rsidR="00C5702E" w:rsidRPr="00DD258A" w:rsidRDefault="00C5702E" w:rsidP="00C5702E">
      <w:r w:rsidRPr="00DD258A">
        <w:t>Virksomheden kan vælge at benytte genbrugspladsordningen omfattet af § 11 frem for at benytte denne ordning for klinisk risikoaffald, for så vidt angår skærende og stikkende genstande emballeret i kanylebokse. Brugen af genbrugspladserne forudsætter imidlertid at virksomhedens kliniske risikoaffald i mængde og karakter k</w:t>
      </w:r>
      <w:r w:rsidR="00124755" w:rsidRPr="00DD258A">
        <w:t>an modtages på en genbrugsplads.</w:t>
      </w:r>
    </w:p>
    <w:p w14:paraId="1146D9F3" w14:textId="77777777" w:rsidR="00525401" w:rsidRPr="00DD258A" w:rsidRDefault="00525401" w:rsidP="00525401"/>
    <w:p w14:paraId="6623F779" w14:textId="77777777" w:rsidR="00525401" w:rsidRPr="00DD258A" w:rsidRDefault="00525401" w:rsidP="00F23B4F">
      <w:pPr>
        <w:pStyle w:val="Normaloverskrift"/>
      </w:pPr>
      <w:r w:rsidRPr="00DD258A">
        <w:t>Anvisning</w:t>
      </w:r>
    </w:p>
    <w:p w14:paraId="0CD9BFA4" w14:textId="77777777" w:rsidR="00525401" w:rsidRPr="00DD258A" w:rsidRDefault="00525401" w:rsidP="00525401">
      <w:r w:rsidRPr="00DD258A">
        <w:t>Klinisk risikoaffald anvises til affaldsbehandlingsanlæg, som har en miljøgodkendelse efter Miljøbeskyttelseslovens § 33, og som er godkendt til at modtage den pågældende affaldstype bestemt ved EAK-kode.</w:t>
      </w:r>
    </w:p>
    <w:p w14:paraId="1899B286" w14:textId="77777777" w:rsidR="00525401" w:rsidRPr="00DD258A" w:rsidRDefault="00525401" w:rsidP="00525401"/>
    <w:p w14:paraId="5B627E25" w14:textId="77777777" w:rsidR="00525401" w:rsidRPr="00DD258A" w:rsidRDefault="00525401" w:rsidP="00F23B4F">
      <w:pPr>
        <w:pStyle w:val="Normaloverskrift"/>
      </w:pPr>
      <w:r w:rsidRPr="00DD258A">
        <w:t>Sortering</w:t>
      </w:r>
    </w:p>
    <w:p w14:paraId="6C8E2582" w14:textId="297044E7" w:rsidR="00525401" w:rsidRPr="00DD258A" w:rsidRDefault="00525401" w:rsidP="00525401">
      <w:r w:rsidRPr="00DD258A">
        <w:t>Virksomheden er underlagt affaldsbekendtgørelsens bestemmelser om at kildesortere og at sikre, at virksomhedens kildesorterede affald forberedes til genbrug, genanvendes eller anvendes til anden endelig materialenyttiggørelse (§§ 6</w:t>
      </w:r>
      <w:r w:rsidR="001608A6">
        <w:t>0</w:t>
      </w:r>
      <w:r w:rsidRPr="00DD258A">
        <w:t xml:space="preserve"> </w:t>
      </w:r>
      <w:r w:rsidR="001608A6">
        <w:t>-</w:t>
      </w:r>
      <w:r w:rsidRPr="00DD258A">
        <w:t xml:space="preserve"> 6</w:t>
      </w:r>
      <w:r w:rsidR="001608A6">
        <w:t>4</w:t>
      </w:r>
      <w:r w:rsidRPr="00DD258A">
        <w:t>).</w:t>
      </w:r>
    </w:p>
    <w:p w14:paraId="2441E4CA" w14:textId="77777777" w:rsidR="00525401" w:rsidRPr="00DD258A" w:rsidRDefault="00525401" w:rsidP="00525401"/>
    <w:p w14:paraId="0EF2D6E7" w14:textId="77777777" w:rsidR="00525401" w:rsidRPr="00DD258A" w:rsidRDefault="00525401" w:rsidP="00525401">
      <w:r w:rsidRPr="00DD258A">
        <w:t>Virksomheden er desuden underlagt affaldsbekendtgørelsens bestemmelse om, at virksomheder, som frembringer eller sorterer farligt affald, skal sikre, at farligt affald ikke fortyndes eller blandes med andet farligt affald eller blandes med ikke-farligt affald, hvis der ikke er givet tilladelse hertil i medfør af loven eller regler udstedt i medfør af loven (§ 73).</w:t>
      </w:r>
    </w:p>
    <w:p w14:paraId="152B1444" w14:textId="77777777" w:rsidR="00525401" w:rsidRPr="00DD258A" w:rsidRDefault="00525401" w:rsidP="00525401"/>
    <w:p w14:paraId="30B53EF5" w14:textId="77777777" w:rsidR="00525401" w:rsidRPr="00DD258A" w:rsidRDefault="00525401" w:rsidP="00525401">
      <w:r w:rsidRPr="00DD258A">
        <w:t>Ved tvivl om hvorvidt affald er klinisk risikoaffald, skal affaldet betragtes som klinisk risikoaffald og håndteres i overensstemmelse med retningslinjerne herfor.</w:t>
      </w:r>
    </w:p>
    <w:p w14:paraId="343D1712" w14:textId="77777777" w:rsidR="00A00D41" w:rsidRPr="00DD258A" w:rsidRDefault="00A00D41" w:rsidP="00525401"/>
    <w:p w14:paraId="26AACDC1" w14:textId="77777777" w:rsidR="00525401" w:rsidRPr="00DD258A" w:rsidRDefault="00525401" w:rsidP="00F23B4F">
      <w:pPr>
        <w:pStyle w:val="Normaloverskrift"/>
      </w:pPr>
      <w:r w:rsidRPr="00DD258A">
        <w:t>Opbevaring af affaldet</w:t>
      </w:r>
    </w:p>
    <w:p w14:paraId="01A43225" w14:textId="77777777" w:rsidR="00525401" w:rsidRPr="00DD258A" w:rsidRDefault="00525401" w:rsidP="00525401">
      <w:r w:rsidRPr="00DD258A">
        <w:t>Virksomheden skal sikre, at der er tilstrækkeligt og egnet opsamlingsmateriel til forsvarlig opbevaring af klinisk risikoaffald på virksomheden. Opsamlingsmateriel skal være mærket med en tekst, der entydigt angiver, hvilken affaldsfraktion opsamlingsmateriellet indeholder.</w:t>
      </w:r>
    </w:p>
    <w:p w14:paraId="13245E6E" w14:textId="77777777" w:rsidR="00525401" w:rsidRPr="00DD258A" w:rsidRDefault="00525401" w:rsidP="00525401"/>
    <w:p w14:paraId="75476326" w14:textId="77777777" w:rsidR="00525401" w:rsidRPr="00DD258A" w:rsidRDefault="00525401" w:rsidP="00525401">
      <w:r w:rsidRPr="00DD258A">
        <w:t xml:space="preserve">Virksomheden skal sikre, at klinisk risikoaffald løbende afleveres til behandling. </w:t>
      </w:r>
    </w:p>
    <w:p w14:paraId="4EB38F32" w14:textId="77777777" w:rsidR="00525401" w:rsidRPr="00DD258A" w:rsidRDefault="00525401" w:rsidP="00525401"/>
    <w:p w14:paraId="59894010" w14:textId="77777777" w:rsidR="00525401" w:rsidRPr="00DD258A" w:rsidRDefault="00525401" w:rsidP="00F23B4F">
      <w:pPr>
        <w:pStyle w:val="Normaloverskrift"/>
      </w:pPr>
      <w:r w:rsidRPr="00DD258A">
        <w:t>Transport</w:t>
      </w:r>
    </w:p>
    <w:p w14:paraId="016B89EC" w14:textId="77777777" w:rsidR="00525401" w:rsidRPr="00DD258A" w:rsidRDefault="00525401" w:rsidP="00525401">
      <w:r w:rsidRPr="00DD258A">
        <w:t>Virksomheden kan, under iagttagelse af de til enhver tid gældende forskrifter herfor, selv transportere klinisk risikoaffald til et af de anviste affaldsbehandlingsanlæg eller lade klinisk risikoaffald transportere af en virksomhed, som er registreret i Affaldsregistret.</w:t>
      </w:r>
    </w:p>
    <w:p w14:paraId="1596C9A0" w14:textId="77777777" w:rsidR="00525401" w:rsidRPr="00DD258A" w:rsidRDefault="00525401" w:rsidP="00525401"/>
    <w:p w14:paraId="54C1BD04" w14:textId="77777777" w:rsidR="00525401" w:rsidRPr="00DD258A" w:rsidRDefault="00525401" w:rsidP="00F23B4F">
      <w:pPr>
        <w:pStyle w:val="Normaloverskrift"/>
      </w:pPr>
      <w:r w:rsidRPr="00DD258A">
        <w:t>Økonomi</w:t>
      </w:r>
    </w:p>
    <w:p w14:paraId="277D2925" w14:textId="77777777" w:rsidR="00525401" w:rsidRPr="00DD258A" w:rsidRDefault="00525401" w:rsidP="00525401">
      <w:r w:rsidRPr="00DD258A">
        <w:t>Afregning for håndtering af klinisk risikoaffald er kommunen uvedkommende og er et forhold mellem virksomheden og affaldstransportører, affaldsbehandlingsanlæg m.v.</w:t>
      </w:r>
    </w:p>
    <w:p w14:paraId="07A034C8" w14:textId="77777777" w:rsidR="00525401" w:rsidRPr="00DD258A" w:rsidRDefault="00525401" w:rsidP="00525401"/>
    <w:p w14:paraId="3D989783" w14:textId="77777777" w:rsidR="00C5702E" w:rsidRPr="00DD258A" w:rsidRDefault="00C5702E" w:rsidP="00525401"/>
    <w:p w14:paraId="21F95CF3" w14:textId="77777777" w:rsidR="00C5702E" w:rsidRPr="00DD258A" w:rsidRDefault="00C5702E" w:rsidP="00C5702E">
      <w:pPr>
        <w:pStyle w:val="Normaloverskrift"/>
      </w:pPr>
      <w:r w:rsidRPr="00DD258A">
        <w:t>Øvrige bestemmelser</w:t>
      </w:r>
    </w:p>
    <w:p w14:paraId="766FA061" w14:textId="77777777" w:rsidR="00C5702E" w:rsidRPr="00DD258A" w:rsidRDefault="00C5702E" w:rsidP="00C5702E">
      <w:r w:rsidRPr="00DD258A">
        <w:t>Mindre mængder af klinisk risiko</w:t>
      </w:r>
      <w:r w:rsidR="000455CC" w:rsidRPr="00DD258A">
        <w:t xml:space="preserve">affald </w:t>
      </w:r>
      <w:r w:rsidRPr="00DD258A">
        <w:t>i form af skærende og stikkende genstande emballeret i kanylebokse kan afleveres på genbrugspladserne jf. § 11. Affaldet vil indgå i de op til 200 kg pr. år, som virksomheden må aflevere af farligt affald.</w:t>
      </w:r>
    </w:p>
    <w:p w14:paraId="33689BBB" w14:textId="77777777" w:rsidR="00C5702E" w:rsidRPr="00DD258A" w:rsidRDefault="00C5702E" w:rsidP="00C5702E"/>
    <w:p w14:paraId="4F2B1D63" w14:textId="77777777" w:rsidR="00C5702E" w:rsidRPr="00DD258A" w:rsidRDefault="00C5702E" w:rsidP="00C5702E">
      <w:r w:rsidRPr="00DD258A">
        <w:t>Mindre mængder skal afleveres efter behov, dog mindst 1 gang årligt.</w:t>
      </w:r>
    </w:p>
    <w:p w14:paraId="4413519B" w14:textId="77777777" w:rsidR="00C5702E" w:rsidRPr="00DD258A" w:rsidRDefault="00C5702E" w:rsidP="00C5702E"/>
    <w:p w14:paraId="342E7DB4" w14:textId="77777777" w:rsidR="00C5702E" w:rsidRPr="00DD258A" w:rsidRDefault="00C5702E" w:rsidP="00C5702E">
      <w:r w:rsidRPr="00DD258A">
        <w:t xml:space="preserve">Virksomheden skal efter affaldsbekendtgørelsen sikre, at </w:t>
      </w:r>
      <w:r w:rsidR="000455CC" w:rsidRPr="00DD258A">
        <w:t xml:space="preserve">klinisk risikoaffald </w:t>
      </w:r>
      <w:r w:rsidRPr="00DD258A">
        <w:t>ikke fortyndes eller blandes med andre kategorier af farligt affald eller blandes med ikke-farligt affald.</w:t>
      </w:r>
    </w:p>
    <w:p w14:paraId="7699266C" w14:textId="77777777" w:rsidR="00C5702E" w:rsidRPr="00DD258A" w:rsidRDefault="00C5702E" w:rsidP="00C5702E"/>
    <w:p w14:paraId="6C63FABD" w14:textId="77777777" w:rsidR="00C5702E" w:rsidRPr="00DD258A" w:rsidRDefault="00C5702E" w:rsidP="00C5702E">
      <w:r w:rsidRPr="00DD258A">
        <w:t xml:space="preserve">Virksomheden skal efter affaldsbekendtgørelsen sikre, at det farlige affald er forsvarligt emballeret. </w:t>
      </w:r>
    </w:p>
    <w:p w14:paraId="52970817" w14:textId="77777777" w:rsidR="00C5702E" w:rsidRPr="00DD258A" w:rsidRDefault="00C5702E" w:rsidP="00C5702E"/>
    <w:p w14:paraId="071E35B2" w14:textId="77777777" w:rsidR="00C5702E" w:rsidRPr="00DD258A" w:rsidRDefault="00C5702E" w:rsidP="00C5702E">
      <w:r w:rsidRPr="00DD258A">
        <w:t xml:space="preserve">Virksomheden skal efter miljøbeskyttelsesloven efter anmodning fra kommunalbestyrelsen tilvejebringe dokumentation for, at </w:t>
      </w:r>
      <w:r w:rsidR="000455CC" w:rsidRPr="00DD258A">
        <w:t>farligt affald i form af klinisk risikoaffald</w:t>
      </w:r>
      <w:r w:rsidRPr="00DD258A">
        <w:t xml:space="preserve"> er korrekt klassificeret i overensstemmelse med bilag om listen over affald (EAK-koder) og bilag om farligt affald i affaldsbekendtgørelsen.</w:t>
      </w:r>
    </w:p>
    <w:p w14:paraId="2CFEB140" w14:textId="77777777" w:rsidR="00C5702E" w:rsidRPr="00DD258A" w:rsidRDefault="00C5702E" w:rsidP="00525401"/>
    <w:p w14:paraId="41E2B7F2" w14:textId="77777777" w:rsidR="00A00D41" w:rsidRPr="00DD258A" w:rsidRDefault="00A00D41">
      <w:pPr>
        <w:spacing w:after="200"/>
      </w:pPr>
      <w:r w:rsidRPr="00DD258A">
        <w:br w:type="page"/>
      </w:r>
    </w:p>
    <w:p w14:paraId="31B794A2" w14:textId="77777777" w:rsidR="00A00D41" w:rsidRPr="00DD258A" w:rsidRDefault="00A00D41" w:rsidP="006611A1">
      <w:pPr>
        <w:pStyle w:val="Overskrift1"/>
      </w:pPr>
      <w:bookmarkStart w:id="13" w:name="_Toc178844976"/>
      <w:r w:rsidRPr="00DD258A">
        <w:lastRenderedPageBreak/>
        <w:t>Ordning for ikke-genanvendeligt PVC-affald</w:t>
      </w:r>
      <w:bookmarkEnd w:id="13"/>
    </w:p>
    <w:p w14:paraId="6ACDDCE5" w14:textId="77777777" w:rsidR="00A00D41" w:rsidRPr="00DD258A" w:rsidRDefault="00A00D41" w:rsidP="006611A1">
      <w:pPr>
        <w:pStyle w:val="Overskrift2"/>
        <w:rPr>
          <w:color w:val="auto"/>
        </w:rPr>
      </w:pPr>
      <w:r w:rsidRPr="00DD258A">
        <w:rPr>
          <w:color w:val="auto"/>
        </w:rPr>
        <w:t>§14.1 Hvad er ikke-genanvendeligt PVC-affald</w:t>
      </w:r>
    </w:p>
    <w:p w14:paraId="76A0396B" w14:textId="77777777" w:rsidR="00A00D41" w:rsidRPr="00DD258A" w:rsidRDefault="00A00D41" w:rsidP="00A00D41"/>
    <w:p w14:paraId="7BC7C45D" w14:textId="77777777" w:rsidR="00A00D41" w:rsidRPr="00DD258A" w:rsidRDefault="00A00D41" w:rsidP="00A00D41">
      <w:r w:rsidRPr="00DD258A">
        <w:t>Ikke-genanvendeligt PVC-affald er affald af plasttypen polyvinylchlorid (PVC). Ikke-genanvendeligt PVC-affald er kendetegnet ved at plasten indeholder giftige blødgørere eller andre stoffer, som gør at PVC-affaldet ikke kan genanvendes.</w:t>
      </w:r>
    </w:p>
    <w:p w14:paraId="39C525C9" w14:textId="77777777" w:rsidR="00A00D41" w:rsidRPr="00DD258A" w:rsidRDefault="00A00D41" w:rsidP="00A00D41"/>
    <w:p w14:paraId="5B476F8D" w14:textId="77777777" w:rsidR="00B24605" w:rsidRPr="00DD258A" w:rsidRDefault="00A00D41" w:rsidP="00A00D41">
      <w:r w:rsidRPr="00DD258A">
        <w:t>Som hovedregel kan blødt PVC-affald betragtes som ikke-genanvendeligt PVC-affald på grund af de giftige blødgørere, mens hårdt PVC-affald kan betragtes som genanvendeligt PVC-affald.</w:t>
      </w:r>
    </w:p>
    <w:p w14:paraId="5E8F64C3" w14:textId="77777777" w:rsidR="00B24605" w:rsidRPr="00DD258A" w:rsidRDefault="00B24605" w:rsidP="00A00D41"/>
    <w:p w14:paraId="3E19864D" w14:textId="77777777" w:rsidR="00A00D41" w:rsidRPr="00DD258A" w:rsidRDefault="00A00D41" w:rsidP="006611A1">
      <w:pPr>
        <w:pStyle w:val="Overskrift2"/>
        <w:rPr>
          <w:color w:val="auto"/>
        </w:rPr>
      </w:pPr>
      <w:r w:rsidRPr="00DD258A">
        <w:rPr>
          <w:color w:val="auto"/>
        </w:rPr>
        <w:t>§14.2 Hvem gælder ordningen for</w:t>
      </w:r>
    </w:p>
    <w:p w14:paraId="7441FC4E" w14:textId="77777777" w:rsidR="00A00D41" w:rsidRPr="00DD258A" w:rsidRDefault="00A00D41" w:rsidP="00A00D41"/>
    <w:p w14:paraId="22792F5A" w14:textId="77777777" w:rsidR="00A00D41" w:rsidRPr="00DD258A" w:rsidRDefault="00A00D41" w:rsidP="00A00D41">
      <w:r w:rsidRPr="00DD258A">
        <w:t xml:space="preserve">Ordningen for ikke-genanvendeligt PVC-affald gælder for alle virksomheder i </w:t>
      </w:r>
      <w:r w:rsidR="00FD2861" w:rsidRPr="00DD258A">
        <w:t>Vordingborg Kommune</w:t>
      </w:r>
      <w:r w:rsidRPr="00DD258A">
        <w:t>.</w:t>
      </w:r>
    </w:p>
    <w:p w14:paraId="1E1A62A5" w14:textId="77777777" w:rsidR="00A00D41" w:rsidRPr="00DD258A" w:rsidRDefault="00A00D41" w:rsidP="00A00D41"/>
    <w:p w14:paraId="75470A56" w14:textId="77777777" w:rsidR="00A00D41" w:rsidRPr="00DD258A" w:rsidRDefault="00A00D41" w:rsidP="00A00D41">
      <w:r w:rsidRPr="00DD258A">
        <w:t>Virksomheden kan dog vælge at benytte genbrugspladsordningen omfattet af § 11 frem for at benytte denne ordning for ikke-genanvendeligt PVC-affald. Brugen af genbrugspladserne forudsætter imidlertid, at virksomhedens ikke-genanvendelige PVC-affald i mængde og karakter kan modtages på en genbrugsplads.</w:t>
      </w:r>
    </w:p>
    <w:p w14:paraId="41648080" w14:textId="77777777" w:rsidR="00A00D41" w:rsidRPr="00DD258A" w:rsidRDefault="00A00D41" w:rsidP="00A00D41"/>
    <w:p w14:paraId="47A280B2" w14:textId="77777777" w:rsidR="00A00D41" w:rsidRPr="00DD258A" w:rsidRDefault="00A00D41" w:rsidP="006611A1">
      <w:pPr>
        <w:pStyle w:val="Overskrift2"/>
        <w:rPr>
          <w:color w:val="auto"/>
        </w:rPr>
      </w:pPr>
      <w:r w:rsidRPr="00DD258A">
        <w:rPr>
          <w:color w:val="auto"/>
        </w:rPr>
        <w:t>§14.3 Beskrivelse af ordningen</w:t>
      </w:r>
    </w:p>
    <w:p w14:paraId="40301078" w14:textId="77777777" w:rsidR="00A00D41" w:rsidRPr="00DD258A" w:rsidRDefault="00A00D41" w:rsidP="00A00D41"/>
    <w:p w14:paraId="0EF4A357" w14:textId="77777777" w:rsidR="00A00D41" w:rsidRPr="00DD258A" w:rsidRDefault="00A00D41" w:rsidP="00A00D41">
      <w:r w:rsidRPr="00DD258A">
        <w:t xml:space="preserve">Ordningen for ikke-genanvendeligt PVC-affald er en anvisningsordning. </w:t>
      </w:r>
    </w:p>
    <w:p w14:paraId="5A2AE89E" w14:textId="77777777" w:rsidR="00A00D41" w:rsidRPr="00DD258A" w:rsidRDefault="00A00D41" w:rsidP="00A00D41"/>
    <w:p w14:paraId="3B2ACF17" w14:textId="77777777" w:rsidR="00A00D41" w:rsidRPr="00DD258A" w:rsidRDefault="00A00D41" w:rsidP="00F23B4F">
      <w:pPr>
        <w:pStyle w:val="Normaloverskrift"/>
      </w:pPr>
      <w:r w:rsidRPr="00DD258A">
        <w:t>Anvisning</w:t>
      </w:r>
    </w:p>
    <w:p w14:paraId="74576916" w14:textId="77777777" w:rsidR="00A00D41" w:rsidRPr="00DD258A" w:rsidRDefault="00A00D41" w:rsidP="00A00D41">
      <w:r w:rsidRPr="00DD258A">
        <w:t>Virksomheden skal sikre, at ikke-genanvendeligt PVC-affald afleveres på et af følgende anlæg:</w:t>
      </w:r>
    </w:p>
    <w:p w14:paraId="586778FC" w14:textId="77777777" w:rsidR="00A00D41" w:rsidRPr="00DD258A" w:rsidRDefault="00A00D41" w:rsidP="00A00D41"/>
    <w:p w14:paraId="14994F77" w14:textId="77777777" w:rsidR="00A00D41" w:rsidRPr="00DD258A" w:rsidRDefault="00A00D41" w:rsidP="00A00D41">
      <w:pPr>
        <w:pStyle w:val="Listeafsnit"/>
        <w:numPr>
          <w:ilvl w:val="0"/>
          <w:numId w:val="6"/>
        </w:numPr>
      </w:pPr>
      <w:r w:rsidRPr="00DD258A">
        <w:t>Faxe Miljøanlæg, Præstøvej 105B, 4640 Faxe</w:t>
      </w:r>
    </w:p>
    <w:p w14:paraId="588A3BA1" w14:textId="77777777" w:rsidR="00A00D41" w:rsidRPr="00DD258A" w:rsidRDefault="00A00D41" w:rsidP="00A00D41">
      <w:pPr>
        <w:pStyle w:val="Listeafsnit"/>
        <w:numPr>
          <w:ilvl w:val="0"/>
          <w:numId w:val="6"/>
        </w:numPr>
      </w:pPr>
      <w:r w:rsidRPr="00DD258A">
        <w:t>Forlev Miljøanlæg, Vejlagervej 4A, 4241 Vemmelev</w:t>
      </w:r>
    </w:p>
    <w:p w14:paraId="4A1E808E" w14:textId="77777777" w:rsidR="00A00D41" w:rsidRPr="00DD258A" w:rsidRDefault="00A00D41" w:rsidP="00A00D41"/>
    <w:p w14:paraId="0F36A51A" w14:textId="77777777" w:rsidR="00A00D41" w:rsidRPr="00DD258A" w:rsidRDefault="00A00D41" w:rsidP="00A00D41">
      <w:r w:rsidRPr="00DD258A">
        <w:t>For nærmere vejledning om levering af ikke-genanvendeligt PVC-affald på deponeringsanlæggene henvises til I/S AffaldPlus leveringsbetingelser for de respektive anlæg.</w:t>
      </w:r>
    </w:p>
    <w:p w14:paraId="3E687DEF" w14:textId="77777777" w:rsidR="00A00D41" w:rsidRPr="00DD258A" w:rsidRDefault="00A00D41" w:rsidP="00A00D41"/>
    <w:p w14:paraId="49B40919" w14:textId="77777777" w:rsidR="00A00D41" w:rsidRPr="00DD258A" w:rsidRDefault="00A00D41" w:rsidP="00F23B4F">
      <w:pPr>
        <w:pStyle w:val="Normaloverskrift"/>
      </w:pPr>
      <w:r w:rsidRPr="00DD258A">
        <w:t>Sortering</w:t>
      </w:r>
    </w:p>
    <w:p w14:paraId="1ACDE4AB" w14:textId="0C7A1EDD" w:rsidR="00A00D41" w:rsidRPr="00DD258A" w:rsidRDefault="00A00D41" w:rsidP="00A00D41">
      <w:r w:rsidRPr="00DD258A">
        <w:t>Virksomheden er underlagt affaldsbekendtgørelsens bestemmelser om at kildesortere og at sikre, at</w:t>
      </w:r>
      <w:r w:rsidR="0036284D">
        <w:t xml:space="preserve"> </w:t>
      </w:r>
      <w:r w:rsidRPr="00DD258A">
        <w:t>virksomhedens kildesorterede affald forberedes til genbrug, genanvendes eller anvendes til anden endelig materialenyttiggørelse (§§ 6</w:t>
      </w:r>
      <w:r w:rsidR="0036284D">
        <w:t>0-</w:t>
      </w:r>
      <w:r w:rsidRPr="00DD258A">
        <w:t xml:space="preserve"> 6</w:t>
      </w:r>
      <w:r w:rsidR="0036284D">
        <w:t>4</w:t>
      </w:r>
      <w:r w:rsidRPr="00DD258A">
        <w:t>).</w:t>
      </w:r>
    </w:p>
    <w:p w14:paraId="67CA2CC4" w14:textId="77777777" w:rsidR="00A00D41" w:rsidRPr="00DD258A" w:rsidRDefault="00A00D41" w:rsidP="00A00D41"/>
    <w:p w14:paraId="52244154" w14:textId="77777777" w:rsidR="00A00D41" w:rsidRPr="00DD258A" w:rsidRDefault="00A00D41" w:rsidP="00A00D41">
      <w:r w:rsidRPr="00DD258A">
        <w:t xml:space="preserve">Virksomheden må dog gerne blande ikke-genanvendeligt PVC-affald med øvrigt deponeringsegnet affald omfattet af ordning for deponeringsegnet affald. </w:t>
      </w:r>
    </w:p>
    <w:p w14:paraId="53EB2375" w14:textId="77777777" w:rsidR="00A00D41" w:rsidRPr="00DD258A" w:rsidRDefault="00A00D41" w:rsidP="00A00D41"/>
    <w:p w14:paraId="7EBC2793" w14:textId="77777777" w:rsidR="00A00D41" w:rsidRPr="00DD258A" w:rsidRDefault="00A00D41" w:rsidP="00F23B4F">
      <w:pPr>
        <w:pStyle w:val="Normaloverskrift"/>
      </w:pPr>
      <w:r w:rsidRPr="00DD258A">
        <w:t>Karakterisering og deklarering</w:t>
      </w:r>
    </w:p>
    <w:p w14:paraId="13473E12" w14:textId="77777777" w:rsidR="00A00D41" w:rsidRPr="00DD258A" w:rsidRDefault="00A00D41" w:rsidP="00A00D41">
      <w:r w:rsidRPr="00DD258A">
        <w:t xml:space="preserve">I henhold til bekendtgørelse om deponeringsanlæg er virksomheden, forud for afleveringen af det ikke-genanvendelige PVC-affald på et deponeringsanlæg, forpligtet til at sikre, at der sker en grundlæggende karakterisering af affaldet i overensstemmelse med retningslinjerne i </w:t>
      </w:r>
      <w:r w:rsidRPr="00DD258A">
        <w:lastRenderedPageBreak/>
        <w:t>bekendtgørelsens bilag 3 og 6. Hvis virksomheden har kendskab til eller begrundet mistanke om, at affaldet indeholder andre potentielt miljøskadelige stoffer end dem, som er omfattet af bekendtgørelsens bilag 3, er det virksomhedens ansvar at sikre, at de pågældende stoffer medtages i den grundlæggende karakterisering. Virksomheden skal fremsende alle relevante oplysninger fra den grundlæggende karakterisering til deponeringsanlægget, og på baggrund af dette materiale kan deponeringsanlægget konstatere om deponeringsanlægget kan modtage affaldet (§§ 16 og 17).</w:t>
      </w:r>
    </w:p>
    <w:p w14:paraId="2F250232" w14:textId="77777777" w:rsidR="00A00D41" w:rsidRPr="00DD258A" w:rsidRDefault="00A00D41" w:rsidP="00A00D41"/>
    <w:p w14:paraId="39D200D8" w14:textId="77777777" w:rsidR="00A00D41" w:rsidRPr="00DD258A" w:rsidRDefault="00A00D41" w:rsidP="00A00D41">
      <w:r w:rsidRPr="00DD258A">
        <w:t>Kan affaldet modtages på deponeringsanlægget, udarbejder deponeringsanlægget en affaldsdeklaration til virksomheden. Affaldsdeklarationen skal medbringes ved aflevering af affaldet på deponeringsanlægget.</w:t>
      </w:r>
    </w:p>
    <w:p w14:paraId="48773FA7" w14:textId="77777777" w:rsidR="00A00D41" w:rsidRPr="00DD258A" w:rsidRDefault="00A00D41" w:rsidP="00A00D41"/>
    <w:p w14:paraId="21D1B3B3" w14:textId="77777777" w:rsidR="00A00D41" w:rsidRPr="00DD258A" w:rsidRDefault="00A00D41" w:rsidP="00A00D41">
      <w:r w:rsidRPr="00DD258A">
        <w:t>Hvis virksomheden kan godtgøre, at der er tale om ensartede affaldstyper, som virksomheden producerer regelmæssigt, kan virksomheden, få en affaldsdeklaration, der gælder i en periode på op til et år.</w:t>
      </w:r>
    </w:p>
    <w:p w14:paraId="04E79F31" w14:textId="77777777" w:rsidR="00A00D41" w:rsidRPr="00DD258A" w:rsidRDefault="00A00D41" w:rsidP="00A00D41"/>
    <w:p w14:paraId="44D2C104" w14:textId="77777777" w:rsidR="00A00D41" w:rsidRPr="00DD258A" w:rsidRDefault="00A00D41" w:rsidP="00A00D41">
      <w:r w:rsidRPr="00DD258A">
        <w:t xml:space="preserve">Kan affaldet ikke modtages på deponeringsanlægget skal virksomheden kontakte </w:t>
      </w:r>
      <w:r w:rsidR="00FD2861" w:rsidRPr="00DD258A">
        <w:t>Vordingborg Kommune</w:t>
      </w:r>
      <w:r w:rsidRPr="00DD258A">
        <w:t xml:space="preserve"> for en konkret anvisning til et andet affaldsbehandlingsanlæg.</w:t>
      </w:r>
    </w:p>
    <w:p w14:paraId="6443825B" w14:textId="77777777" w:rsidR="00A00D41" w:rsidRPr="00DD258A" w:rsidRDefault="00A00D41" w:rsidP="00A00D41"/>
    <w:p w14:paraId="0CECB6FA" w14:textId="77777777" w:rsidR="00A00D41" w:rsidRPr="00DD258A" w:rsidRDefault="00A00D41" w:rsidP="00F23B4F">
      <w:pPr>
        <w:pStyle w:val="Normaloverskrift"/>
      </w:pPr>
      <w:r w:rsidRPr="00DD258A">
        <w:t>Opbevaring af affaldet</w:t>
      </w:r>
    </w:p>
    <w:p w14:paraId="70344718" w14:textId="77777777" w:rsidR="00A00D41" w:rsidRPr="00DD258A" w:rsidRDefault="00A00D41" w:rsidP="00A00D41">
      <w:r w:rsidRPr="00DD258A">
        <w:t>Virksomheden skal sikre, at der er tilstrækkeligt og egnet opsamlingsmateriel til forsvarlig opbevaring af det ikke-genanvendelige PVC-affald på virksomheden. Opsamlingsmateriel skal være mærket med en tekst, der entydigt angiver, hvad opsamlingsmateriellet skal benyttes til fx ”deponeringsegnet affald” eller ”affald til deponi”, idet ikke-genanvendeligt PVC-affald må blandes med øvrigt deponeringsegnet affald.</w:t>
      </w:r>
    </w:p>
    <w:p w14:paraId="20985F5A" w14:textId="77777777" w:rsidR="00A00D41" w:rsidRPr="00DD258A" w:rsidRDefault="00A00D41" w:rsidP="00A00D41"/>
    <w:p w14:paraId="108ECE73" w14:textId="77777777" w:rsidR="00A00D41" w:rsidRPr="00DD258A" w:rsidRDefault="00A00D41" w:rsidP="00A00D41">
      <w:r w:rsidRPr="00DD258A">
        <w:t xml:space="preserve">Virksomheden må maksimalt opbevare det deponeringsegnede affald på virksomheden i ét år. </w:t>
      </w:r>
    </w:p>
    <w:p w14:paraId="5192C195" w14:textId="77777777" w:rsidR="00A00D41" w:rsidRPr="00DD258A" w:rsidRDefault="00A00D41" w:rsidP="00A00D41"/>
    <w:p w14:paraId="061946A0" w14:textId="77777777" w:rsidR="00A00D41" w:rsidRPr="00DD258A" w:rsidRDefault="00A00D41" w:rsidP="00F23B4F">
      <w:pPr>
        <w:pStyle w:val="Normaloverskrift"/>
      </w:pPr>
      <w:r w:rsidRPr="00DD258A">
        <w:t>Transport</w:t>
      </w:r>
    </w:p>
    <w:p w14:paraId="12B72545" w14:textId="77777777" w:rsidR="00A00D41" w:rsidRPr="00DD258A" w:rsidRDefault="00A00D41" w:rsidP="00A00D41">
      <w:r w:rsidRPr="00DD258A">
        <w:t>Virksomheden kan, under iagttagelse af de til enhver tid gældende forskrifter herfor, selv transportere det deponeringsegnede affald til et af de anviste affaldsbehandlingsanlæg eller lade det deponeringsegnede affald transportere af en virksomhed, som er registreret i Affaldsregistret.</w:t>
      </w:r>
    </w:p>
    <w:p w14:paraId="171D83F0" w14:textId="77777777" w:rsidR="00A00D41" w:rsidRPr="00DD258A" w:rsidRDefault="00A00D41" w:rsidP="00A00D41"/>
    <w:p w14:paraId="625B46AF" w14:textId="77777777" w:rsidR="00A00D41" w:rsidRPr="00DD258A" w:rsidRDefault="00A00D41" w:rsidP="00F23B4F">
      <w:pPr>
        <w:pStyle w:val="Normaloverskrift"/>
      </w:pPr>
      <w:r w:rsidRPr="00DD258A">
        <w:t>Økonomi</w:t>
      </w:r>
    </w:p>
    <w:p w14:paraId="62B37FC3" w14:textId="77777777" w:rsidR="002F4970" w:rsidRPr="00DD258A" w:rsidRDefault="00A00D41" w:rsidP="00A00D41">
      <w:r w:rsidRPr="00DD258A">
        <w:t>Afregning for håndtering af det deponeringsegnede affald er kommunen uvedkommende og er et forhold mellem virksomheden og affaldstransportører, affaldsbehandlingsanlæg m.v.</w:t>
      </w:r>
    </w:p>
    <w:p w14:paraId="1B395407" w14:textId="77777777" w:rsidR="002F4970" w:rsidRPr="00DD258A" w:rsidRDefault="002F4970">
      <w:pPr>
        <w:spacing w:after="200"/>
      </w:pPr>
      <w:r w:rsidRPr="00DD258A">
        <w:br w:type="page"/>
      </w:r>
    </w:p>
    <w:p w14:paraId="01595183" w14:textId="77777777" w:rsidR="00A30803" w:rsidRPr="00DD258A" w:rsidRDefault="00A30803" w:rsidP="006611A1">
      <w:pPr>
        <w:pStyle w:val="Overskrift1"/>
      </w:pPr>
      <w:bookmarkStart w:id="14" w:name="_Toc178844977"/>
      <w:r w:rsidRPr="00DD258A">
        <w:lastRenderedPageBreak/>
        <w:t>Ordning for forbrændingsegnet affald</w:t>
      </w:r>
      <w:bookmarkEnd w:id="14"/>
    </w:p>
    <w:p w14:paraId="5A98AE35" w14:textId="77777777" w:rsidR="00A30803" w:rsidRPr="00DD258A" w:rsidRDefault="00A30803" w:rsidP="00A30803"/>
    <w:p w14:paraId="2E601A1F" w14:textId="77777777" w:rsidR="00A30803" w:rsidRPr="00DD258A" w:rsidRDefault="00A30803" w:rsidP="006611A1">
      <w:pPr>
        <w:pStyle w:val="Overskrift2"/>
        <w:rPr>
          <w:color w:val="auto"/>
        </w:rPr>
      </w:pPr>
      <w:r w:rsidRPr="00DD258A">
        <w:rPr>
          <w:color w:val="auto"/>
        </w:rPr>
        <w:t>§15.1 Hvad er forbrændingsegnet affald</w:t>
      </w:r>
    </w:p>
    <w:p w14:paraId="37D6E7A9" w14:textId="77777777" w:rsidR="00A30803" w:rsidRPr="00DD258A" w:rsidRDefault="00A30803" w:rsidP="00A30803"/>
    <w:p w14:paraId="4A821469" w14:textId="77777777" w:rsidR="00A30803" w:rsidRPr="00DD258A" w:rsidRDefault="00A30803" w:rsidP="00A30803">
      <w:r w:rsidRPr="00DD258A">
        <w:t>Forbrændingsegnet affald er affald, der er omfattet af definitionen af forbrændingsegnet affald i affaldsbekendtgørelsen.</w:t>
      </w:r>
    </w:p>
    <w:p w14:paraId="7B55EE10" w14:textId="77777777" w:rsidR="00A30803" w:rsidRPr="00DD258A" w:rsidRDefault="00A30803" w:rsidP="00A30803"/>
    <w:p w14:paraId="2A9AC790" w14:textId="77777777" w:rsidR="00A30803" w:rsidRPr="00DD258A" w:rsidRDefault="00A30803" w:rsidP="006611A1">
      <w:pPr>
        <w:pStyle w:val="Overskrift2"/>
        <w:rPr>
          <w:color w:val="auto"/>
        </w:rPr>
      </w:pPr>
      <w:r w:rsidRPr="00DD258A">
        <w:rPr>
          <w:color w:val="auto"/>
        </w:rPr>
        <w:t>§15.2 Hvem gælder ordningen for</w:t>
      </w:r>
    </w:p>
    <w:p w14:paraId="0EE69A96" w14:textId="77777777" w:rsidR="00A30803" w:rsidRPr="00DD258A" w:rsidRDefault="00A30803" w:rsidP="00A30803"/>
    <w:p w14:paraId="3FC5139B" w14:textId="77777777" w:rsidR="00A30803" w:rsidRPr="00DD258A" w:rsidRDefault="00A30803" w:rsidP="00A30803">
      <w:r w:rsidRPr="00DD258A">
        <w:t xml:space="preserve">Ordningen for forbrændingsegnet affald gælder for alle virksomheder i </w:t>
      </w:r>
      <w:r w:rsidR="00FD2861" w:rsidRPr="00DD258A">
        <w:t>Vordingborg Kommune</w:t>
      </w:r>
      <w:r w:rsidRPr="00DD258A">
        <w:t>.</w:t>
      </w:r>
    </w:p>
    <w:p w14:paraId="068DF41C" w14:textId="77777777" w:rsidR="00A30803" w:rsidRPr="00DD258A" w:rsidRDefault="00A30803" w:rsidP="00A30803"/>
    <w:p w14:paraId="0EDA7EA3" w14:textId="77777777" w:rsidR="00A30803" w:rsidRPr="00DD258A" w:rsidRDefault="00A30803" w:rsidP="00A30803">
      <w:r w:rsidRPr="00DD258A">
        <w:t>Virksomheden kan dog vælge at benytte genbrugspladsordningen omfattet af § 11 frem for at benytte denne ordning for forbrændingsegnet affald. Brugen af genbrugspladserne forudsætter imidlertid, at virksomhedens forbrændingsegnede affald i mængde og karakter kan modtages på en genbrugsplads.</w:t>
      </w:r>
    </w:p>
    <w:p w14:paraId="6F38E9FC" w14:textId="77777777" w:rsidR="00A30803" w:rsidRPr="00DD258A" w:rsidRDefault="00A30803" w:rsidP="00A30803"/>
    <w:p w14:paraId="75756048" w14:textId="77777777" w:rsidR="00A30803" w:rsidRPr="00DD258A" w:rsidRDefault="00A30803" w:rsidP="00F23B4F">
      <w:pPr>
        <w:pStyle w:val="Normaloverskrift"/>
        <w:rPr>
          <w:i/>
        </w:rPr>
      </w:pPr>
      <w:r w:rsidRPr="00DD258A">
        <w:t>Undtagelse for visse virksomheder fra kravet om aflevering af forbrændingsegnet affald</w:t>
      </w:r>
    </w:p>
    <w:p w14:paraId="32FB8E30" w14:textId="77777777" w:rsidR="00296579" w:rsidRPr="00DD258A" w:rsidRDefault="00296579" w:rsidP="00296579"/>
    <w:p w14:paraId="778A8DCB" w14:textId="77777777" w:rsidR="00A30803" w:rsidRPr="00DD258A" w:rsidRDefault="00A30803" w:rsidP="00A30803">
      <w:r w:rsidRPr="00DD258A">
        <w:t>Virksomheder, der frembringer haveaffald, parkaffald og haveaffaldslignende affald fra gartnerier, naturplejeaktiviteter m.v. kan undlade at benytte denne ordning for forbrændingsegnet affald, for så vidt angår den del af deres forbrændingsegnede affald, der består af haveaffald, parkaffald og ha</w:t>
      </w:r>
      <w:r w:rsidR="00231D9B" w:rsidRPr="00DD258A">
        <w:t>veaffaldslignende affald, der er frembragt på egen eller forpagtet jord</w:t>
      </w:r>
      <w:r w:rsidRPr="00DD258A">
        <w:t>. Herunder også afklip fra landbrugets levende hegn</w:t>
      </w:r>
      <w:r w:rsidR="00CD1019" w:rsidRPr="00DD258A">
        <w:t>, men ikke affald fra afgrøder.</w:t>
      </w:r>
    </w:p>
    <w:p w14:paraId="196E9418" w14:textId="77777777" w:rsidR="00A30803" w:rsidRPr="00DD258A" w:rsidRDefault="00A30803" w:rsidP="00A30803"/>
    <w:p w14:paraId="42340D33" w14:textId="77777777" w:rsidR="00231D9B" w:rsidRPr="00DD258A" w:rsidRDefault="00231D9B" w:rsidP="00231D9B">
      <w:r w:rsidRPr="00DD258A">
        <w:t>Ved haveaffald, parkaffald og haveaffaldslignende affald forstås blade, kviste og grene fra træer, buske og lignende.</w:t>
      </w:r>
    </w:p>
    <w:p w14:paraId="61EB2502" w14:textId="77777777" w:rsidR="00231D9B" w:rsidRPr="00DD258A" w:rsidRDefault="00231D9B" w:rsidP="00231D9B"/>
    <w:p w14:paraId="14F7A282" w14:textId="77777777" w:rsidR="00A30803" w:rsidRPr="00DD258A" w:rsidRDefault="00A30803" w:rsidP="00A30803">
      <w:r w:rsidRPr="00DD258A">
        <w:t xml:space="preserve">Det er tilladt for disse virksomheder at afbrænde haveaffald, parkaffald og haveaffaldslignende affald på lokaliteten, hvor affaldet er frembragt. </w:t>
      </w:r>
    </w:p>
    <w:p w14:paraId="7B221476" w14:textId="77777777" w:rsidR="00A30803" w:rsidRPr="00DD258A" w:rsidRDefault="00A30803" w:rsidP="00A30803"/>
    <w:p w14:paraId="6577FEC2" w14:textId="77777777" w:rsidR="00231D9B" w:rsidRPr="00DD258A" w:rsidRDefault="00231D9B" w:rsidP="00231D9B">
      <w:pPr>
        <w:pStyle w:val="Understregetoverskrift"/>
      </w:pPr>
      <w:r w:rsidRPr="00DD258A">
        <w:t>Øvrige undtagelser</w:t>
      </w:r>
    </w:p>
    <w:p w14:paraId="4775371C" w14:textId="43FEC94B" w:rsidR="00A30803" w:rsidRPr="00DD258A" w:rsidRDefault="00A30803" w:rsidP="00A30803">
      <w:r w:rsidRPr="00DD258A">
        <w:t>I henhold til affaldsbekendtgørelsen er det i øvrigt tilladt for skovbrug at afbrænde træstød og hugstaffald i sammenhængende bevoksninger af skovtræarter på mindst 0,5 ha og mindst 20 meters bredde (§ 4</w:t>
      </w:r>
      <w:r w:rsidR="0036284D">
        <w:t>9</w:t>
      </w:r>
      <w:r w:rsidRPr="00DD258A">
        <w:t>, stk. 3).</w:t>
      </w:r>
    </w:p>
    <w:p w14:paraId="76D016D1" w14:textId="77777777" w:rsidR="002136FB" w:rsidRPr="00DD258A" w:rsidRDefault="002136FB" w:rsidP="00A30803"/>
    <w:p w14:paraId="2808547A" w14:textId="77777777" w:rsidR="002136FB" w:rsidRPr="00DD258A" w:rsidRDefault="002136FB" w:rsidP="002136FB">
      <w:r w:rsidRPr="00DD258A">
        <w:t xml:space="preserve">For landbrug er der desuden få undtagelser for kravet om aflevering af forbrændingsegnet affald. Disse undtagelser fremgår af bekendtgørelsen om forbud mod markafbrænding </w:t>
      </w:r>
      <w:r w:rsidR="00231D9B" w:rsidRPr="00DD258A">
        <w:t>af halm m.v.</w:t>
      </w:r>
    </w:p>
    <w:p w14:paraId="629D8C3B" w14:textId="77777777" w:rsidR="00231D9B" w:rsidRPr="00DD258A" w:rsidRDefault="00231D9B" w:rsidP="002136FB"/>
    <w:p w14:paraId="5119B150" w14:textId="77777777" w:rsidR="00231D9B" w:rsidRPr="00DD258A" w:rsidRDefault="00231D9B" w:rsidP="00231D9B">
      <w:pPr>
        <w:pStyle w:val="Understregetoverskrift"/>
      </w:pPr>
      <w:r w:rsidRPr="00DD258A">
        <w:t>Generelt</w:t>
      </w:r>
    </w:p>
    <w:p w14:paraId="61B429E5" w14:textId="77777777" w:rsidR="00231D9B" w:rsidRPr="00DD258A" w:rsidRDefault="00231D9B" w:rsidP="00231D9B">
      <w:r w:rsidRPr="00DD258A">
        <w:t>Afbrænding skal ske i henhold til bekendtgørelse om brandværnsforanstaltninger ved afbrænding, brug af ild, lys, varmekilder m.v. og regler udstedt i medfør heraf.</w:t>
      </w:r>
    </w:p>
    <w:p w14:paraId="57B81C3E" w14:textId="77777777" w:rsidR="00A30803" w:rsidRPr="00DD258A" w:rsidRDefault="00A30803" w:rsidP="00A30803"/>
    <w:p w14:paraId="4D205F7F" w14:textId="77777777" w:rsidR="00A30803" w:rsidRPr="00DD258A" w:rsidRDefault="00A30803" w:rsidP="00124755">
      <w:pPr>
        <w:pStyle w:val="Overskrift2"/>
        <w:keepNext/>
        <w:rPr>
          <w:color w:val="auto"/>
        </w:rPr>
      </w:pPr>
      <w:r w:rsidRPr="00DD258A">
        <w:rPr>
          <w:color w:val="auto"/>
        </w:rPr>
        <w:t>§15.3 Beskrivelse af ordningen</w:t>
      </w:r>
    </w:p>
    <w:p w14:paraId="6DFC7755" w14:textId="77777777" w:rsidR="00A30803" w:rsidRPr="00DD258A" w:rsidRDefault="00A30803" w:rsidP="00A30803">
      <w:r w:rsidRPr="00DD258A">
        <w:t>Ordningen for forbrændingsegnet affald er en anvisningsordning.</w:t>
      </w:r>
    </w:p>
    <w:p w14:paraId="097ADCD0" w14:textId="77777777" w:rsidR="00A30803" w:rsidRPr="00DD258A" w:rsidRDefault="00A30803" w:rsidP="00A30803"/>
    <w:p w14:paraId="4975BE73" w14:textId="77777777" w:rsidR="00A30803" w:rsidRPr="00DD258A" w:rsidRDefault="00A30803" w:rsidP="00F23B4F">
      <w:pPr>
        <w:pStyle w:val="Normaloverskrift"/>
      </w:pPr>
      <w:r w:rsidRPr="00DD258A">
        <w:lastRenderedPageBreak/>
        <w:t>Anvisning</w:t>
      </w:r>
    </w:p>
    <w:p w14:paraId="579D0B42" w14:textId="79029564" w:rsidR="0036284D" w:rsidRPr="0036284D" w:rsidRDefault="0036284D" w:rsidP="0036284D">
      <w:r>
        <w:t>Forbrændingsegnet affald</w:t>
      </w:r>
      <w:r w:rsidRPr="0036284D">
        <w:t xml:space="preserve"> anvises til affaldsbehandlingsanlæg, som har en miljøgodkendelse efter Miljøbeskyttelseslovens § 33, og som er godkendt til at modtage den pågældende affaldstype bestemt ved EAK-kode.</w:t>
      </w:r>
    </w:p>
    <w:p w14:paraId="68345D0E" w14:textId="77777777" w:rsidR="00A30803" w:rsidRPr="00DD258A" w:rsidRDefault="00A30803" w:rsidP="00A30803"/>
    <w:p w14:paraId="3BE2C238" w14:textId="77777777" w:rsidR="00150E15" w:rsidRPr="00DD258A" w:rsidRDefault="00150E15" w:rsidP="00150E15">
      <w:r w:rsidRPr="00DD258A">
        <w:rPr>
          <w:u w:val="single"/>
        </w:rPr>
        <w:t>Småt brændbart affald</w:t>
      </w:r>
      <w:r w:rsidRPr="00DD258A">
        <w:t xml:space="preserve"> er forbrændingsegnet affald, hvor enkeltdelene har en maksimal dimension på 100 x 50 x 50 cm og ingen kompakte emner har en diameter større end 10 cm.</w:t>
      </w:r>
    </w:p>
    <w:p w14:paraId="0541B9E9" w14:textId="77777777" w:rsidR="00150E15" w:rsidRPr="00DD258A" w:rsidRDefault="00150E15" w:rsidP="00150E15"/>
    <w:p w14:paraId="4585D1C6" w14:textId="77777777" w:rsidR="00150E15" w:rsidRPr="00DD258A" w:rsidRDefault="00150E15" w:rsidP="00150E15">
      <w:r w:rsidRPr="00DD258A">
        <w:rPr>
          <w:u w:val="single"/>
        </w:rPr>
        <w:t>Stort brændbart affald</w:t>
      </w:r>
      <w:r w:rsidRPr="00DD258A">
        <w:t xml:space="preserve"> er forbrændingsegnet affald, hvor enkeltdelene har en maksimal dimension på 250 x 125 x 20 cm.</w:t>
      </w:r>
    </w:p>
    <w:p w14:paraId="39CD6043" w14:textId="77777777" w:rsidR="00150E15" w:rsidRPr="00DD258A" w:rsidRDefault="00150E15" w:rsidP="00150E15"/>
    <w:p w14:paraId="16F2C12F" w14:textId="77777777" w:rsidR="00150E15" w:rsidRPr="00DD258A" w:rsidRDefault="00150E15" w:rsidP="00150E15">
      <w:r w:rsidRPr="00DD258A">
        <w:rPr>
          <w:u w:val="single"/>
        </w:rPr>
        <w:t>Større end stort brændbart affald</w:t>
      </w:r>
      <w:r w:rsidRPr="00DD258A">
        <w:t xml:space="preserve"> er forbrændingsegnet affald, hvor enkeltdelene er større end dimensionerne for stort brændbart affald.</w:t>
      </w:r>
    </w:p>
    <w:p w14:paraId="79E9EF8D" w14:textId="77777777" w:rsidR="00150E15" w:rsidRPr="00DD258A" w:rsidRDefault="00150E15" w:rsidP="00A30803"/>
    <w:p w14:paraId="2388FC67" w14:textId="77777777" w:rsidR="00A30803" w:rsidRPr="00DD258A" w:rsidRDefault="00A30803" w:rsidP="00A30803"/>
    <w:p w14:paraId="7F29E971" w14:textId="77777777" w:rsidR="00A30803" w:rsidRPr="00DD258A" w:rsidRDefault="00A30803" w:rsidP="00A30803"/>
    <w:p w14:paraId="05ED8A4B" w14:textId="77777777" w:rsidR="00A30803" w:rsidRPr="00DD258A" w:rsidRDefault="00A30803" w:rsidP="00F23B4F">
      <w:pPr>
        <w:pStyle w:val="Normaloverskrift"/>
      </w:pPr>
      <w:r w:rsidRPr="00DD258A">
        <w:t>Sortering</w:t>
      </w:r>
    </w:p>
    <w:p w14:paraId="04DF04A4" w14:textId="6A8D958E" w:rsidR="00A30803" w:rsidRPr="00DD258A" w:rsidRDefault="00A30803" w:rsidP="00A30803">
      <w:r w:rsidRPr="00DD258A">
        <w:t>Virksomheden er underlagt affaldsbekendtgørelsens bestemmelser om at kildesortere og at sikre, at virksomhedens kildesorterede affald forberedes til genbrug, genanvendes eller anvendes til anden endelig materialenyttiggørelse (§§ 6</w:t>
      </w:r>
      <w:r w:rsidR="0036284D">
        <w:t>0</w:t>
      </w:r>
      <w:r w:rsidRPr="00DD258A">
        <w:t xml:space="preserve"> </w:t>
      </w:r>
      <w:r w:rsidR="0036284D">
        <w:t>-</w:t>
      </w:r>
      <w:r w:rsidRPr="00DD258A">
        <w:t xml:space="preserve"> 6</w:t>
      </w:r>
      <w:r w:rsidR="0036284D">
        <w:t>4</w:t>
      </w:r>
      <w:r w:rsidRPr="00DD258A">
        <w:t>).</w:t>
      </w:r>
    </w:p>
    <w:p w14:paraId="7AC1AD30" w14:textId="77777777" w:rsidR="00A30803" w:rsidRPr="00DD258A" w:rsidRDefault="00A30803" w:rsidP="00A30803"/>
    <w:p w14:paraId="731E11AE" w14:textId="6437CE63" w:rsidR="00A30803" w:rsidRPr="00DD258A" w:rsidRDefault="00A30803" w:rsidP="00A30803">
      <w:r w:rsidRPr="00DD258A">
        <w:t>Det betyder blandt andet, at virksomheden ikke må blande det forbrændingsegnede affald sammen med andet affald. Virksomheden må dog blande mindre mængder af forbrændingse</w:t>
      </w:r>
      <w:r w:rsidR="00F23B4F" w:rsidRPr="00DD258A">
        <w:t>g</w:t>
      </w:r>
      <w:r w:rsidRPr="00DD258A">
        <w:t xml:space="preserve">net affald, som er kendetegnet ved at opfylde kriterierne for småt brændbart affald, sammen med </w:t>
      </w:r>
      <w:r w:rsidR="0036284D">
        <w:t>husholdning</w:t>
      </w:r>
      <w:r w:rsidRPr="00DD258A">
        <w:t xml:space="preserve">slignede </w:t>
      </w:r>
      <w:r w:rsidR="0036284D">
        <w:t>rest</w:t>
      </w:r>
      <w:r w:rsidRPr="00DD258A">
        <w:t xml:space="preserve">affald. Affaldet klassificeres i så fald som </w:t>
      </w:r>
      <w:r w:rsidR="0036284D">
        <w:t>husholdning</w:t>
      </w:r>
      <w:r w:rsidRPr="00DD258A">
        <w:t xml:space="preserve">slignende </w:t>
      </w:r>
      <w:r w:rsidR="0036284D">
        <w:t>rest</w:t>
      </w:r>
      <w:r w:rsidRPr="00DD258A">
        <w:t>affald</w:t>
      </w:r>
      <w:r w:rsidR="00F23B4F" w:rsidRPr="00DD258A">
        <w:t xml:space="preserve"> og er omfattet af dette regulativs § 10</w:t>
      </w:r>
      <w:r w:rsidRPr="00DD258A">
        <w:t>.</w:t>
      </w:r>
    </w:p>
    <w:p w14:paraId="63993B2B" w14:textId="77777777" w:rsidR="00A30803" w:rsidRPr="00DD258A" w:rsidRDefault="00A30803" w:rsidP="00A30803"/>
    <w:p w14:paraId="087FBD50" w14:textId="77777777" w:rsidR="00A30803" w:rsidRPr="00DD258A" w:rsidRDefault="00A30803" w:rsidP="00F23B4F">
      <w:pPr>
        <w:pStyle w:val="Understregetoverskrift"/>
      </w:pPr>
      <w:r w:rsidRPr="00DD258A">
        <w:t>Kreosotbehandlet træ</w:t>
      </w:r>
    </w:p>
    <w:p w14:paraId="278E4DA0" w14:textId="77777777" w:rsidR="00A30803" w:rsidRPr="00DD258A" w:rsidRDefault="00A30803" w:rsidP="00A30803">
      <w:r w:rsidRPr="00DD258A">
        <w:t>Virksomheden skal sikre, at kreosotbehandlet træ håndteres som forbrændingsegnet affald, dog skal kreosotbehandlet træ holdes adskilt fra andet forbrændingsegnet affald.</w:t>
      </w:r>
    </w:p>
    <w:p w14:paraId="1944C95F" w14:textId="77777777" w:rsidR="00A30803" w:rsidRPr="00DD258A" w:rsidRDefault="00A30803" w:rsidP="00A30803"/>
    <w:p w14:paraId="7EEDF79B" w14:textId="77777777" w:rsidR="00A30803" w:rsidRPr="00DD258A" w:rsidRDefault="00A30803" w:rsidP="00F23B4F">
      <w:pPr>
        <w:pStyle w:val="Understregetoverskrift"/>
      </w:pPr>
      <w:r w:rsidRPr="00DD258A">
        <w:t xml:space="preserve">Imprægneret træ </w:t>
      </w:r>
    </w:p>
    <w:p w14:paraId="0A40FB0F" w14:textId="77777777" w:rsidR="00A30803" w:rsidRPr="00DD258A" w:rsidRDefault="00A30803" w:rsidP="00A30803">
      <w:r w:rsidRPr="00DD258A">
        <w:t>Virksomheden skal sikre, at imprægneret træ håndteres som forbrændingsegnet affald, dog skal imprægneret træ holdes adskilt fra andet forbrændingsegnet affald.</w:t>
      </w:r>
    </w:p>
    <w:p w14:paraId="79EC2AC3" w14:textId="77777777" w:rsidR="00A30803" w:rsidRPr="00DD258A" w:rsidRDefault="00A30803" w:rsidP="00A30803"/>
    <w:p w14:paraId="74318382" w14:textId="77777777" w:rsidR="00A30803" w:rsidRPr="00DD258A" w:rsidRDefault="00A30803" w:rsidP="00F23B4F">
      <w:pPr>
        <w:pStyle w:val="Normaloverskrift"/>
      </w:pPr>
      <w:r w:rsidRPr="00DD258A">
        <w:t>Opbevaring</w:t>
      </w:r>
    </w:p>
    <w:p w14:paraId="2A8EF80E" w14:textId="77777777" w:rsidR="00A30803" w:rsidRPr="00DD258A" w:rsidRDefault="00A30803" w:rsidP="00A30803">
      <w:r w:rsidRPr="00DD258A">
        <w:t>Virksomheden skal sikre, at der er tilstrækkeligt og egnet opsamlingsmateriel til forsvarlig opbevaring af det forbrændingsegnede affald på virksomheden. Opsamlingsmateriel skal være mærket med en tekst, der entydigt angiver, hvad opsamlingsmateriellet skal benyttes til fx ”forbrændingsegnet affald” eller ”brændbart affald”.</w:t>
      </w:r>
    </w:p>
    <w:p w14:paraId="49CF053B" w14:textId="77777777" w:rsidR="00A30803" w:rsidRPr="00DD258A" w:rsidRDefault="00A30803" w:rsidP="00A30803"/>
    <w:p w14:paraId="2608819A" w14:textId="77777777" w:rsidR="00A30803" w:rsidRPr="00DD258A" w:rsidRDefault="00A30803" w:rsidP="00A30803">
      <w:r w:rsidRPr="00DD258A">
        <w:t xml:space="preserve">Virksomheden må maksimalt opbevare det forbrændingsegnede affald på virksomheden i ét år. </w:t>
      </w:r>
    </w:p>
    <w:p w14:paraId="2F60AA44" w14:textId="77777777" w:rsidR="00A30803" w:rsidRPr="00DD258A" w:rsidRDefault="00A30803" w:rsidP="00A30803"/>
    <w:p w14:paraId="2A70CAD2" w14:textId="77777777" w:rsidR="00A30803" w:rsidRPr="00DD258A" w:rsidRDefault="00A30803" w:rsidP="00F23B4F">
      <w:pPr>
        <w:pStyle w:val="Normaloverskrift"/>
      </w:pPr>
      <w:bookmarkStart w:id="15" w:name="_Hlk175737202"/>
      <w:r w:rsidRPr="00DD258A">
        <w:t>Transport</w:t>
      </w:r>
    </w:p>
    <w:p w14:paraId="4421A524" w14:textId="77777777" w:rsidR="00A30803" w:rsidRPr="00DD258A" w:rsidRDefault="00A30803" w:rsidP="00A30803">
      <w:r w:rsidRPr="00DD258A">
        <w:t>Virksomheden kan, under iagttagelse af de til enhver tid gældende forskrifter herfor, selv transportere det forbrændingsegnede affald til et af de anviste affaldsbehandlingsanlæg eller lade det forbrændingsegnede affald transportere af en virksomhed, som er registreret i Affaldsregistret.</w:t>
      </w:r>
    </w:p>
    <w:p w14:paraId="59C94186" w14:textId="77777777" w:rsidR="00A30803" w:rsidRPr="00DD258A" w:rsidRDefault="00A30803" w:rsidP="00A30803"/>
    <w:p w14:paraId="18E39DA7" w14:textId="77777777" w:rsidR="00A30803" w:rsidRPr="00DD258A" w:rsidRDefault="00A30803" w:rsidP="00F23B4F">
      <w:pPr>
        <w:pStyle w:val="Normaloverskrift"/>
      </w:pPr>
      <w:r w:rsidRPr="00DD258A">
        <w:t>Økonomi</w:t>
      </w:r>
    </w:p>
    <w:p w14:paraId="6F23DFB0" w14:textId="77777777" w:rsidR="00A30803" w:rsidRPr="00DD258A" w:rsidRDefault="00A30803" w:rsidP="00A30803">
      <w:r w:rsidRPr="00DD258A">
        <w:t>Afregning for håndtering af det forbrændingsegnede affald er kommunen uvedkommende og er et forhold mellem virksomheden og affaldstransportører, affaldsbehandlingsanlæg m.v.</w:t>
      </w:r>
    </w:p>
    <w:bookmarkEnd w:id="15"/>
    <w:p w14:paraId="4E4962D7" w14:textId="77777777" w:rsidR="009553D4" w:rsidRPr="00DD258A" w:rsidRDefault="009553D4">
      <w:pPr>
        <w:spacing w:after="200"/>
      </w:pPr>
      <w:r w:rsidRPr="00DD258A">
        <w:br w:type="page"/>
      </w:r>
    </w:p>
    <w:p w14:paraId="7061AE57" w14:textId="77777777" w:rsidR="009553D4" w:rsidRPr="00DD258A" w:rsidRDefault="009553D4" w:rsidP="006611A1">
      <w:pPr>
        <w:pStyle w:val="Overskrift1"/>
      </w:pPr>
      <w:bookmarkStart w:id="16" w:name="_Toc178844978"/>
      <w:r w:rsidRPr="00DD258A">
        <w:lastRenderedPageBreak/>
        <w:t>Ordning for deponeringsegnet affald</w:t>
      </w:r>
      <w:bookmarkEnd w:id="16"/>
    </w:p>
    <w:p w14:paraId="6E6A3072" w14:textId="77777777" w:rsidR="009553D4" w:rsidRPr="00DD258A" w:rsidRDefault="009553D4" w:rsidP="006611A1">
      <w:pPr>
        <w:pStyle w:val="Overskrift2"/>
        <w:rPr>
          <w:color w:val="auto"/>
        </w:rPr>
      </w:pPr>
      <w:r w:rsidRPr="00DD258A">
        <w:rPr>
          <w:color w:val="auto"/>
        </w:rPr>
        <w:t>§16.1 Hvad er deponeringsegnet affald</w:t>
      </w:r>
    </w:p>
    <w:p w14:paraId="7AD17488" w14:textId="77777777" w:rsidR="009553D4" w:rsidRPr="00DD258A" w:rsidRDefault="009553D4" w:rsidP="009553D4"/>
    <w:p w14:paraId="50706DA1" w14:textId="77777777" w:rsidR="009553D4" w:rsidRPr="00DD258A" w:rsidRDefault="009553D4" w:rsidP="009553D4">
      <w:r w:rsidRPr="00DD258A">
        <w:t>Deponeringsegnet affald er affald, der er omfattet af definitionen af deponeringsegnet affald i affaldsbekendtgørelsen.</w:t>
      </w:r>
    </w:p>
    <w:p w14:paraId="042AACCF" w14:textId="77777777" w:rsidR="009553D4" w:rsidRPr="00DD258A" w:rsidRDefault="009553D4" w:rsidP="009553D4"/>
    <w:p w14:paraId="74342337" w14:textId="77777777" w:rsidR="009553D4" w:rsidRPr="00DD258A" w:rsidRDefault="009553D4" w:rsidP="006611A1">
      <w:pPr>
        <w:pStyle w:val="Overskrift2"/>
        <w:rPr>
          <w:color w:val="auto"/>
        </w:rPr>
      </w:pPr>
      <w:r w:rsidRPr="00DD258A">
        <w:rPr>
          <w:color w:val="auto"/>
        </w:rPr>
        <w:t>§16.2 Hvem gælder ordningen for</w:t>
      </w:r>
    </w:p>
    <w:p w14:paraId="0F37E0A8" w14:textId="77777777" w:rsidR="009553D4" w:rsidRPr="00DD258A" w:rsidRDefault="009553D4" w:rsidP="009553D4"/>
    <w:p w14:paraId="6DB24141" w14:textId="77777777" w:rsidR="009553D4" w:rsidRPr="00DD258A" w:rsidRDefault="009553D4" w:rsidP="009553D4">
      <w:r w:rsidRPr="00DD258A">
        <w:t xml:space="preserve">Ordningen for deponeringsegnet affald gælder for alle virksomheder i </w:t>
      </w:r>
      <w:r w:rsidR="00FD2861" w:rsidRPr="00DD258A">
        <w:t>Vordingborg Kommune</w:t>
      </w:r>
      <w:r w:rsidRPr="00DD258A">
        <w:t>.</w:t>
      </w:r>
    </w:p>
    <w:p w14:paraId="6A7E4B9A" w14:textId="77777777" w:rsidR="009553D4" w:rsidRPr="00DD258A" w:rsidRDefault="009553D4" w:rsidP="009553D4"/>
    <w:p w14:paraId="0A274FDB" w14:textId="77777777" w:rsidR="009553D4" w:rsidRPr="00DD258A" w:rsidRDefault="009553D4" w:rsidP="009553D4">
      <w:r w:rsidRPr="00DD258A">
        <w:t>Virksomheden kan vælge at benytte genbrugspladsordningen omfattet af § 11 frem for at benytte denne ordning for deponeringsegnet affald. Brugen af genbrugspladserne forudsætter imidlertid, at virksomhedens deponeringsegnede affald i mængde og karakter kan modtages på en genbrugsplads.</w:t>
      </w:r>
    </w:p>
    <w:p w14:paraId="212F302B" w14:textId="77777777" w:rsidR="009553D4" w:rsidRPr="00DD258A" w:rsidRDefault="009553D4" w:rsidP="009553D4"/>
    <w:p w14:paraId="2A57B086" w14:textId="77777777" w:rsidR="009553D4" w:rsidRPr="00DD258A" w:rsidRDefault="009553D4" w:rsidP="006611A1">
      <w:pPr>
        <w:pStyle w:val="Overskrift2"/>
        <w:rPr>
          <w:color w:val="auto"/>
        </w:rPr>
      </w:pPr>
      <w:r w:rsidRPr="00DD258A">
        <w:rPr>
          <w:color w:val="auto"/>
        </w:rPr>
        <w:t>§16.3 Beskrivelse af ordningen</w:t>
      </w:r>
    </w:p>
    <w:p w14:paraId="011BC26D" w14:textId="77777777" w:rsidR="009553D4" w:rsidRPr="00DD258A" w:rsidRDefault="009553D4" w:rsidP="009553D4"/>
    <w:p w14:paraId="20FE767D" w14:textId="77777777" w:rsidR="009553D4" w:rsidRPr="00DD258A" w:rsidRDefault="009553D4" w:rsidP="009553D4">
      <w:r w:rsidRPr="00DD258A">
        <w:t xml:space="preserve">Ordningen for deponeringsegnet affald er en anvisningsordning. </w:t>
      </w:r>
    </w:p>
    <w:p w14:paraId="5D14574D" w14:textId="77777777" w:rsidR="009553D4" w:rsidRPr="00DD258A" w:rsidRDefault="009553D4" w:rsidP="009553D4"/>
    <w:p w14:paraId="70660BA9" w14:textId="77777777" w:rsidR="009553D4" w:rsidRPr="00DD258A" w:rsidRDefault="009553D4" w:rsidP="009553D4">
      <w:pPr>
        <w:pStyle w:val="Normaloverskrift"/>
      </w:pPr>
      <w:r w:rsidRPr="00DD258A">
        <w:t>Anvisning</w:t>
      </w:r>
    </w:p>
    <w:p w14:paraId="15DA3D18" w14:textId="77777777" w:rsidR="009553D4" w:rsidRPr="00DD258A" w:rsidRDefault="009553D4" w:rsidP="009553D4">
      <w:r w:rsidRPr="00DD258A">
        <w:t>Virksomheden skal sikre, at deponeringsegnet affald afleveres på et af følgende anlæg:</w:t>
      </w:r>
    </w:p>
    <w:p w14:paraId="70668E5E" w14:textId="77777777" w:rsidR="009553D4" w:rsidRPr="00DD258A" w:rsidRDefault="009553D4" w:rsidP="009553D4"/>
    <w:p w14:paraId="2970A562" w14:textId="77777777" w:rsidR="009553D4" w:rsidRPr="00DD258A" w:rsidRDefault="009553D4" w:rsidP="009553D4">
      <w:pPr>
        <w:pStyle w:val="Listeafsnit"/>
        <w:numPr>
          <w:ilvl w:val="0"/>
          <w:numId w:val="6"/>
        </w:numPr>
      </w:pPr>
      <w:r w:rsidRPr="00DD258A">
        <w:t>Faxe Miljøanlæg, Præstøvej 105B, 4640 Faxe</w:t>
      </w:r>
    </w:p>
    <w:p w14:paraId="6185768B" w14:textId="77777777" w:rsidR="009553D4" w:rsidRPr="00DD258A" w:rsidRDefault="009553D4" w:rsidP="009553D4">
      <w:pPr>
        <w:pStyle w:val="Listeafsnit"/>
        <w:numPr>
          <w:ilvl w:val="0"/>
          <w:numId w:val="6"/>
        </w:numPr>
      </w:pPr>
      <w:r w:rsidRPr="00DD258A">
        <w:t>Forlev Miljøanlæg, Vejlagervej 4A, 4241 Vemmelev</w:t>
      </w:r>
    </w:p>
    <w:p w14:paraId="58219972" w14:textId="77777777" w:rsidR="009553D4" w:rsidRPr="00DD258A" w:rsidRDefault="009553D4" w:rsidP="009553D4"/>
    <w:p w14:paraId="1C089A49" w14:textId="77777777" w:rsidR="009553D4" w:rsidRPr="00DD258A" w:rsidRDefault="009553D4" w:rsidP="009553D4">
      <w:r w:rsidRPr="00DD258A">
        <w:t>På begge deponeringsanlæg kan virksomheden aflevere deponeringsegnet affald af affaldsklasserne:</w:t>
      </w:r>
    </w:p>
    <w:p w14:paraId="11139D44" w14:textId="77777777" w:rsidR="009553D4" w:rsidRPr="00DD258A" w:rsidRDefault="009553D4" w:rsidP="009553D4"/>
    <w:p w14:paraId="3884FCC4" w14:textId="77777777" w:rsidR="009553D4" w:rsidRPr="00041A88" w:rsidRDefault="009553D4" w:rsidP="009553D4">
      <w:pPr>
        <w:pStyle w:val="Listeafsnit"/>
        <w:numPr>
          <w:ilvl w:val="0"/>
          <w:numId w:val="6"/>
        </w:numPr>
        <w:rPr>
          <w:rFonts w:cs="Arial"/>
        </w:rPr>
      </w:pPr>
      <w:r w:rsidRPr="00041A88">
        <w:rPr>
          <w:rFonts w:cs="Arial"/>
        </w:rPr>
        <w:t>Inert affald</w:t>
      </w:r>
    </w:p>
    <w:p w14:paraId="60E1B47B" w14:textId="77777777" w:rsidR="009553D4" w:rsidRDefault="009553D4" w:rsidP="009553D4">
      <w:pPr>
        <w:pStyle w:val="Listeafsnit"/>
        <w:numPr>
          <w:ilvl w:val="0"/>
          <w:numId w:val="6"/>
        </w:numPr>
        <w:rPr>
          <w:rFonts w:cs="Arial"/>
        </w:rPr>
      </w:pPr>
      <w:r w:rsidRPr="00041A88">
        <w:rPr>
          <w:rFonts w:cs="Arial"/>
        </w:rPr>
        <w:t>Mineralsk affald</w:t>
      </w:r>
    </w:p>
    <w:p w14:paraId="4DD5C540" w14:textId="26DB6D56" w:rsidR="009553D4" w:rsidRPr="00041A88" w:rsidRDefault="00836A45" w:rsidP="009553D4">
      <w:pPr>
        <w:pStyle w:val="Listeafsnit"/>
        <w:numPr>
          <w:ilvl w:val="0"/>
          <w:numId w:val="6"/>
        </w:numPr>
        <w:rPr>
          <w:rFonts w:cs="Arial"/>
        </w:rPr>
      </w:pPr>
      <w:r w:rsidRPr="00624154">
        <w:t xml:space="preserve">Blandinger af forurenet beton, mursten, tegl og keramik </w:t>
      </w:r>
    </w:p>
    <w:p w14:paraId="1CFCF7AD" w14:textId="77777777" w:rsidR="00C37392" w:rsidRPr="00DD258A" w:rsidRDefault="00C37392" w:rsidP="00C37392"/>
    <w:p w14:paraId="2FB67001" w14:textId="77777777" w:rsidR="009553D4" w:rsidRPr="00DD258A" w:rsidRDefault="00C37392" w:rsidP="009553D4">
      <w:r w:rsidRPr="00DD258A">
        <w:t>Affaldsklasserne er defineret i bekendtgørelsen om deponeringsanlæg.</w:t>
      </w:r>
    </w:p>
    <w:p w14:paraId="04F3AD22" w14:textId="77777777" w:rsidR="00C37392" w:rsidRPr="00DD258A" w:rsidRDefault="00C37392" w:rsidP="009553D4"/>
    <w:p w14:paraId="1345B1DE" w14:textId="77777777" w:rsidR="009553D4" w:rsidRPr="00DD258A" w:rsidRDefault="009553D4" w:rsidP="009553D4">
      <w:r w:rsidRPr="00DD258A">
        <w:t>For at sikre optimal udnyttelse af deponeringsanlæggenes kapacitet er I/S AffaldPlus dog bemyndiget til at henvise affald af affaldsklassen ”mineralsk affald” til Faxe Miljøanlæg.</w:t>
      </w:r>
    </w:p>
    <w:p w14:paraId="73C5542F" w14:textId="77777777" w:rsidR="009553D4" w:rsidRPr="00DD258A" w:rsidRDefault="009553D4" w:rsidP="009553D4"/>
    <w:p w14:paraId="743B744D" w14:textId="77777777" w:rsidR="009553D4" w:rsidRPr="00DD258A" w:rsidRDefault="009553D4" w:rsidP="009553D4">
      <w:r w:rsidRPr="00DD258A">
        <w:t>Deponeringsegnet affald af affaldsklassen ”farligt affald” kan ikke afleveres på nogen af deponeringsanlæggene.</w:t>
      </w:r>
    </w:p>
    <w:p w14:paraId="27E99719" w14:textId="77777777" w:rsidR="009553D4" w:rsidRPr="00DD258A" w:rsidRDefault="009553D4" w:rsidP="009553D4"/>
    <w:p w14:paraId="47566DED" w14:textId="77777777" w:rsidR="009553D4" w:rsidRPr="00DD258A" w:rsidRDefault="009553D4" w:rsidP="009553D4">
      <w:r w:rsidRPr="00DD258A">
        <w:t>PCB-holdigt deponeringsegnet affald kan kun afleveres på Forlev Miljøanlæg. Affaldet skal have et PCB-indhold på under 50 mg/kg TS. Har affaldet et højere PCB-indhold klassificeres affaldet som farligt affald, og skal i så fald håndteres efter reglerne beskrevet i ordning for ikke-genanvendeligt farligt affald.</w:t>
      </w:r>
    </w:p>
    <w:p w14:paraId="59C400C0" w14:textId="77777777" w:rsidR="009553D4" w:rsidRPr="00DD258A" w:rsidRDefault="009553D4" w:rsidP="009553D4"/>
    <w:p w14:paraId="4F5DB5EB" w14:textId="77777777" w:rsidR="009553D4" w:rsidRPr="00DD258A" w:rsidRDefault="009553D4" w:rsidP="009553D4">
      <w:r w:rsidRPr="00DD258A">
        <w:lastRenderedPageBreak/>
        <w:t>For nærmere vejledning om levering af deponeringsegnet affald på deponeringsanlæggene henvises til I/S AffaldPlus leveringsbetingelser for de respektive anlæg.</w:t>
      </w:r>
    </w:p>
    <w:p w14:paraId="5918CEFD" w14:textId="77777777" w:rsidR="009553D4" w:rsidRPr="00DD258A" w:rsidRDefault="009553D4" w:rsidP="009553D4"/>
    <w:p w14:paraId="27C998DA" w14:textId="77777777" w:rsidR="009553D4" w:rsidRPr="00DD258A" w:rsidRDefault="009553D4" w:rsidP="009553D4">
      <w:pPr>
        <w:pStyle w:val="Normaloverskrift"/>
      </w:pPr>
      <w:r w:rsidRPr="00DD258A">
        <w:t>Sortering</w:t>
      </w:r>
    </w:p>
    <w:p w14:paraId="7BF9ADF8" w14:textId="5C40E21E" w:rsidR="009553D4" w:rsidRPr="00DD258A" w:rsidRDefault="009553D4" w:rsidP="009553D4">
      <w:r w:rsidRPr="00DD258A">
        <w:t>Virksomheden er underlagt affaldsbekendtgørelsens bestemmelser om at kildesortere og at sikre, at virksomhedens kildesorterede affald forberedes til genbrug, genanvendes eller anvendes til anden endelig materialenyttiggørelse (§§ 6</w:t>
      </w:r>
      <w:r w:rsidR="00460F81">
        <w:t>0</w:t>
      </w:r>
      <w:r w:rsidRPr="00DD258A">
        <w:t xml:space="preserve"> </w:t>
      </w:r>
      <w:r w:rsidR="00460F81">
        <w:t>-</w:t>
      </w:r>
      <w:r w:rsidRPr="00DD258A">
        <w:t xml:space="preserve"> 6</w:t>
      </w:r>
      <w:r w:rsidR="00460F81">
        <w:t>4</w:t>
      </w:r>
      <w:r w:rsidRPr="00DD258A">
        <w:t>).</w:t>
      </w:r>
    </w:p>
    <w:p w14:paraId="34940DF0" w14:textId="77777777" w:rsidR="009553D4" w:rsidRPr="00DD258A" w:rsidRDefault="009553D4" w:rsidP="009553D4"/>
    <w:p w14:paraId="2EE779FE" w14:textId="7BEC194E" w:rsidR="009553D4" w:rsidRPr="00DD258A" w:rsidRDefault="009553D4" w:rsidP="009553D4">
      <w:r w:rsidRPr="00DD258A">
        <w:t xml:space="preserve">Virksomheden er desuden underlagt affaldsbekendtgørelsens bestemmelser om, at virksomheden ikke må fortynde eller blande affald med det formål at opfylde betingelserne for aflevering af affald til deponering, og at virksomheden ikke må aflevere følgende affald til deponering (§§ </w:t>
      </w:r>
      <w:r w:rsidR="00460F81">
        <w:t>53</w:t>
      </w:r>
      <w:r w:rsidRPr="00DD258A">
        <w:t xml:space="preserve"> og </w:t>
      </w:r>
      <w:r w:rsidR="00460F81">
        <w:t>54</w:t>
      </w:r>
      <w:r w:rsidRPr="00DD258A">
        <w:t>):</w:t>
      </w:r>
    </w:p>
    <w:p w14:paraId="013FDBE5" w14:textId="77777777" w:rsidR="009553D4" w:rsidRPr="00DD258A" w:rsidRDefault="009553D4" w:rsidP="009553D4"/>
    <w:p w14:paraId="09E392C6" w14:textId="77777777" w:rsidR="009553D4" w:rsidRPr="00DD258A" w:rsidRDefault="009553D4" w:rsidP="009553D4">
      <w:pPr>
        <w:pStyle w:val="Listeafsnit"/>
        <w:numPr>
          <w:ilvl w:val="0"/>
          <w:numId w:val="12"/>
        </w:numPr>
      </w:pPr>
      <w:r w:rsidRPr="00DD258A">
        <w:t>Flydende affald, dog ikke slam.</w:t>
      </w:r>
    </w:p>
    <w:p w14:paraId="7A825A58" w14:textId="77777777" w:rsidR="009553D4" w:rsidRPr="00DD258A" w:rsidRDefault="009553D4" w:rsidP="009553D4">
      <w:pPr>
        <w:pStyle w:val="Listeafsnit"/>
        <w:numPr>
          <w:ilvl w:val="0"/>
          <w:numId w:val="12"/>
        </w:numPr>
      </w:pPr>
      <w:r w:rsidRPr="00DD258A">
        <w:t>Affald, som under deponeringsforholdene er eksplosivt, brandnærende, brandfarligt eller ætsende, jf. affaldsbekendtgørelsens bilag 4.</w:t>
      </w:r>
    </w:p>
    <w:p w14:paraId="75D0D1F2" w14:textId="77777777" w:rsidR="009553D4" w:rsidRPr="00DD258A" w:rsidRDefault="009553D4" w:rsidP="009553D4">
      <w:pPr>
        <w:pStyle w:val="Listeafsnit"/>
        <w:numPr>
          <w:ilvl w:val="0"/>
          <w:numId w:val="12"/>
        </w:numPr>
      </w:pPr>
      <w:r w:rsidRPr="00DD258A">
        <w:t>Klinisk risikoaffald, jf. affaldsbekendtgørelsens bilag 2.</w:t>
      </w:r>
    </w:p>
    <w:p w14:paraId="67132FC4" w14:textId="77777777" w:rsidR="009553D4" w:rsidRPr="00DD258A" w:rsidRDefault="009553D4" w:rsidP="009553D4">
      <w:pPr>
        <w:pStyle w:val="Listeafsnit"/>
        <w:numPr>
          <w:ilvl w:val="0"/>
          <w:numId w:val="12"/>
        </w:numPr>
      </w:pPr>
      <w:r w:rsidRPr="00DD258A">
        <w:t>Dæk med en udvendig diameter på under 1,40 meter.</w:t>
      </w:r>
    </w:p>
    <w:p w14:paraId="661C5FF9" w14:textId="77777777" w:rsidR="009553D4" w:rsidRPr="00DD258A" w:rsidRDefault="009553D4" w:rsidP="009553D4">
      <w:pPr>
        <w:pStyle w:val="Listeafsnit"/>
        <w:numPr>
          <w:ilvl w:val="0"/>
          <w:numId w:val="12"/>
        </w:numPr>
      </w:pPr>
      <w:r w:rsidRPr="00DD258A">
        <w:t>Ituskårne dæk.</w:t>
      </w:r>
    </w:p>
    <w:p w14:paraId="699AB144" w14:textId="77777777" w:rsidR="009553D4" w:rsidRPr="00DD258A" w:rsidRDefault="009553D4" w:rsidP="009553D4">
      <w:pPr>
        <w:pStyle w:val="Listeafsnit"/>
        <w:numPr>
          <w:ilvl w:val="0"/>
          <w:numId w:val="12"/>
        </w:numPr>
      </w:pPr>
      <w:r w:rsidRPr="00DD258A">
        <w:t xml:space="preserve">Affald, der ikke har været underkastet forbehandling jf. affaldsbekendtgørelsens § 3, nr. 23. Kravet om forbehandling forinden deponering kan dog fraviges af </w:t>
      </w:r>
      <w:r w:rsidR="00FD2861" w:rsidRPr="00DD258A">
        <w:t>Vordingborg Kommune</w:t>
      </w:r>
      <w:r w:rsidRPr="00DD258A">
        <w:t>, hvis en forbehandling ikke vil nedbringe mængden af affaldet eller farerne for menneskers sundhed eller miljøet.</w:t>
      </w:r>
    </w:p>
    <w:p w14:paraId="6E8F676D" w14:textId="77777777" w:rsidR="009553D4" w:rsidRPr="00DD258A" w:rsidRDefault="009553D4" w:rsidP="009553D4"/>
    <w:p w14:paraId="0E7FA5C1" w14:textId="77777777" w:rsidR="009553D4" w:rsidRPr="00DD258A" w:rsidRDefault="009553D4" w:rsidP="009553D4">
      <w:r w:rsidRPr="00DD258A">
        <w:t>Slam og lignende skal have et tørstofindhold på minimum 20 %.</w:t>
      </w:r>
    </w:p>
    <w:p w14:paraId="520698FB" w14:textId="77777777" w:rsidR="009553D4" w:rsidRPr="00DD258A" w:rsidRDefault="009553D4" w:rsidP="009553D4"/>
    <w:p w14:paraId="6227B40B" w14:textId="77777777" w:rsidR="009553D4" w:rsidRPr="00DD258A" w:rsidRDefault="009553D4" w:rsidP="009553D4">
      <w:r w:rsidRPr="00DD258A">
        <w:t>Stærkt støvende affald skal befugtes eller emballeres forud for aflevering på deponeringsan-læggene.</w:t>
      </w:r>
    </w:p>
    <w:p w14:paraId="2832E230" w14:textId="77777777" w:rsidR="00A15A05" w:rsidRPr="00DD258A" w:rsidRDefault="00A15A05" w:rsidP="009553D4"/>
    <w:p w14:paraId="431C1D42" w14:textId="77777777" w:rsidR="00A15A05" w:rsidRPr="00DD258A" w:rsidRDefault="00A15A05" w:rsidP="009553D4">
      <w:r w:rsidRPr="00DD258A">
        <w:t>PCB-holdigt deponeringsegnet affald skal holdes adskilt fra øvrigt deponeringsegnet affald.</w:t>
      </w:r>
    </w:p>
    <w:p w14:paraId="289B544E" w14:textId="77777777" w:rsidR="009553D4" w:rsidRPr="00DD258A" w:rsidRDefault="009553D4" w:rsidP="009553D4"/>
    <w:p w14:paraId="69FDFA51" w14:textId="77777777" w:rsidR="009553D4" w:rsidRPr="00DD258A" w:rsidRDefault="009553D4" w:rsidP="009553D4">
      <w:pPr>
        <w:pStyle w:val="Normaloverskrift"/>
      </w:pPr>
      <w:r w:rsidRPr="00DD258A">
        <w:t>Karakterisering og deklarering</w:t>
      </w:r>
    </w:p>
    <w:p w14:paraId="4F78E84A" w14:textId="77777777" w:rsidR="009553D4" w:rsidRPr="00DD258A" w:rsidRDefault="009553D4" w:rsidP="009553D4">
      <w:r w:rsidRPr="00DD258A">
        <w:t>I henhold til bekendtgørelse om deponeringsanlæg er virksomheden, forud for afleveringen af det deponeringsegnede affald på et deponeringsanlæg, forpligtet til at sikre, at der sker en grundlæggende karakterisering af affaldet i overensstemmelse med retningslinjerne i bekendtgørelsens bilag 3 og 6. Hvis virksomheden har kendskab til eller begrundet mistanke om, at affaldet indeholder andre potentielt miljøskadelige stoffer end dem, som er omfattet af bekendtgørelsens bilag 3, er det virksomhedens ansvar at sikre, at de pågældende stoffer medtages i den grundlæggende karakterisering. Virksomheden skal fremsende alle relevante oplysninger fra den grundlæggende karakterisering til deponeringsanlægget, og på baggrund af dette materiale kan deponeringsanlægget konstatere om deponeringsanlægget kan modtage affaldet (§§ 16 og 17).</w:t>
      </w:r>
    </w:p>
    <w:p w14:paraId="6C744A2E" w14:textId="77777777" w:rsidR="009553D4" w:rsidRPr="00DD258A" w:rsidRDefault="009553D4" w:rsidP="009553D4"/>
    <w:p w14:paraId="444EA4BF" w14:textId="77777777" w:rsidR="009553D4" w:rsidRPr="00DD258A" w:rsidRDefault="009553D4" w:rsidP="009553D4">
      <w:r w:rsidRPr="00DD258A">
        <w:t>Kan affaldet modtages på deponeringsanlægget, udarbejder deponeringsanlægget en affaldsdeklaration til virksomheden. Affaldsdeklarationen skal medbringes ved aflevering af affaldet.</w:t>
      </w:r>
    </w:p>
    <w:p w14:paraId="18130BBB" w14:textId="77777777" w:rsidR="009553D4" w:rsidRPr="00DD258A" w:rsidRDefault="009553D4" w:rsidP="009553D4"/>
    <w:p w14:paraId="2DB5BE55" w14:textId="77777777" w:rsidR="009553D4" w:rsidRPr="00DD258A" w:rsidRDefault="009553D4" w:rsidP="009553D4">
      <w:r w:rsidRPr="00DD258A">
        <w:lastRenderedPageBreak/>
        <w:t>Hvis virksomheden kan godtgøre, at der er tale om ensartede affaldstyper, som virksomheden producerer regelmæssigt, kan virksomheden, få en affaldsdeklaration, der gælder i en periode på op til et år.</w:t>
      </w:r>
    </w:p>
    <w:p w14:paraId="30537B9A" w14:textId="77777777" w:rsidR="009553D4" w:rsidRPr="00DD258A" w:rsidRDefault="009553D4" w:rsidP="009553D4"/>
    <w:p w14:paraId="0DB989AE" w14:textId="77777777" w:rsidR="00DD210B" w:rsidRPr="00DD258A" w:rsidRDefault="009553D4" w:rsidP="009553D4">
      <w:r w:rsidRPr="00DD258A">
        <w:t xml:space="preserve">Kan affaldet ikke modtages på deponeringsanlægget skal virksomheden kontakte </w:t>
      </w:r>
      <w:r w:rsidR="00FD2861" w:rsidRPr="00DD258A">
        <w:t>Vordingborg Kommune</w:t>
      </w:r>
      <w:r w:rsidRPr="00DD258A">
        <w:t xml:space="preserve"> for en konkret anvisning til et andet affaldsbehandlingsanlæg.</w:t>
      </w:r>
    </w:p>
    <w:p w14:paraId="2B17A6B7" w14:textId="77777777" w:rsidR="00460F81" w:rsidRDefault="00460F81" w:rsidP="00460F81">
      <w:pPr>
        <w:spacing w:after="200"/>
        <w:rPr>
          <w:b/>
        </w:rPr>
      </w:pPr>
    </w:p>
    <w:p w14:paraId="576EC72A" w14:textId="27921AB7" w:rsidR="00460F81" w:rsidRPr="00460F81" w:rsidRDefault="00460F81" w:rsidP="00460F81">
      <w:pPr>
        <w:spacing w:after="200"/>
        <w:rPr>
          <w:b/>
        </w:rPr>
      </w:pPr>
      <w:r w:rsidRPr="00460F81">
        <w:rPr>
          <w:b/>
        </w:rPr>
        <w:t>Transport</w:t>
      </w:r>
    </w:p>
    <w:p w14:paraId="4FDB7198" w14:textId="77777777" w:rsidR="00460F81" w:rsidRPr="00460F81" w:rsidRDefault="00460F81" w:rsidP="00460F81">
      <w:pPr>
        <w:spacing w:after="200"/>
      </w:pPr>
      <w:r w:rsidRPr="00460F81">
        <w:t>Virksomheden kan, under iagttagelse af de til enhver tid gældende forskrifter herfor, selv transportere det forbrændingsegnede affald til et af de anviste affaldsbehandlingsanlæg eller lade det forbrændingsegnede affald transportere af en virksomhed, som er registreret i Affaldsregistret.</w:t>
      </w:r>
    </w:p>
    <w:p w14:paraId="30A1BE2B" w14:textId="77777777" w:rsidR="00460F81" w:rsidRPr="00460F81" w:rsidRDefault="00460F81" w:rsidP="00460F81">
      <w:pPr>
        <w:spacing w:after="200"/>
      </w:pPr>
    </w:p>
    <w:p w14:paraId="48094B51" w14:textId="77777777" w:rsidR="00460F81" w:rsidRPr="00460F81" w:rsidRDefault="00460F81" w:rsidP="00460F81">
      <w:pPr>
        <w:spacing w:after="200"/>
        <w:rPr>
          <w:b/>
        </w:rPr>
      </w:pPr>
      <w:r w:rsidRPr="00460F81">
        <w:rPr>
          <w:b/>
        </w:rPr>
        <w:t>Økonomi</w:t>
      </w:r>
    </w:p>
    <w:p w14:paraId="279B3825" w14:textId="77777777" w:rsidR="00460F81" w:rsidRPr="00460F81" w:rsidRDefault="00460F81" w:rsidP="00460F81">
      <w:pPr>
        <w:spacing w:after="200"/>
      </w:pPr>
      <w:r w:rsidRPr="00460F81">
        <w:t>Afregning for håndtering af det forbrændingsegnede affald er kommunen uvedkommende og er et forhold mellem virksomheden og affaldstransportører, affaldsbehandlingsanlæg m.v.</w:t>
      </w:r>
    </w:p>
    <w:p w14:paraId="1CA6FD84" w14:textId="77777777" w:rsidR="00460F81" w:rsidRDefault="00460F81">
      <w:pPr>
        <w:spacing w:after="200"/>
      </w:pPr>
    </w:p>
    <w:p w14:paraId="21E39DAC" w14:textId="4B01BC70" w:rsidR="00DD210B" w:rsidRPr="00DD258A" w:rsidRDefault="00DD210B">
      <w:pPr>
        <w:spacing w:after="200"/>
      </w:pPr>
      <w:r w:rsidRPr="00DD258A">
        <w:br w:type="page"/>
      </w:r>
    </w:p>
    <w:p w14:paraId="34249192" w14:textId="77777777" w:rsidR="00DD210B" w:rsidRPr="00DD258A" w:rsidRDefault="00DD210B" w:rsidP="006611A1">
      <w:pPr>
        <w:pStyle w:val="Overskrift1"/>
      </w:pPr>
      <w:bookmarkStart w:id="17" w:name="_Toc178844979"/>
      <w:r w:rsidRPr="00DD258A">
        <w:lastRenderedPageBreak/>
        <w:t>Ordning for affald fra olie- og benzinudskillere</w:t>
      </w:r>
      <w:bookmarkEnd w:id="17"/>
    </w:p>
    <w:p w14:paraId="79F16FD1" w14:textId="77777777" w:rsidR="00DD210B" w:rsidRPr="00DD258A" w:rsidRDefault="00DD210B" w:rsidP="00DD210B"/>
    <w:p w14:paraId="3E5BA6B4" w14:textId="77777777" w:rsidR="00DD210B" w:rsidRPr="00DD258A" w:rsidRDefault="00DD210B" w:rsidP="006611A1">
      <w:pPr>
        <w:pStyle w:val="Overskrift2"/>
        <w:rPr>
          <w:color w:val="auto"/>
        </w:rPr>
      </w:pPr>
      <w:r w:rsidRPr="00DD258A">
        <w:rPr>
          <w:color w:val="auto"/>
        </w:rPr>
        <w:t>§17.1 Hvad er affald fra olie- og benzinudskillere</w:t>
      </w:r>
    </w:p>
    <w:p w14:paraId="5D1711F1" w14:textId="77777777" w:rsidR="00DD210B" w:rsidRPr="00DD258A" w:rsidRDefault="00DD210B" w:rsidP="00DD210B"/>
    <w:p w14:paraId="5918407D" w14:textId="77777777" w:rsidR="00DD210B" w:rsidRPr="00DD258A" w:rsidRDefault="00DD210B" w:rsidP="00DD210B">
      <w:r w:rsidRPr="00DD258A">
        <w:t>Affald fra olie- og benzinudskillere er flydende olie- og benzinholdigt affald, herunder sand og slam fra sandfang tilknyttet en olie- og benzinudskiller.</w:t>
      </w:r>
    </w:p>
    <w:p w14:paraId="126ED182" w14:textId="77777777" w:rsidR="00DD210B" w:rsidRPr="00DD258A" w:rsidRDefault="00DD210B" w:rsidP="00DD210B"/>
    <w:p w14:paraId="40681063" w14:textId="77777777" w:rsidR="00DD210B" w:rsidRPr="00DD258A" w:rsidRDefault="00DD210B" w:rsidP="00DD210B">
      <w:r w:rsidRPr="00DD258A">
        <w:t>Affaldet fra olie- og benzinudskillere klassificeres i sin helhed som, ikke-genanvendeligt farligt affald og betragtes ikke som kildesorteret.</w:t>
      </w:r>
    </w:p>
    <w:p w14:paraId="73498D96" w14:textId="77777777" w:rsidR="00DD210B" w:rsidRPr="00DD258A" w:rsidRDefault="00DD210B" w:rsidP="00DD210B"/>
    <w:p w14:paraId="67C9BBB6" w14:textId="77777777" w:rsidR="00DD210B" w:rsidRPr="00DD258A" w:rsidRDefault="00DD210B" w:rsidP="006611A1">
      <w:pPr>
        <w:pStyle w:val="Overskrift2"/>
        <w:rPr>
          <w:color w:val="auto"/>
        </w:rPr>
      </w:pPr>
      <w:r w:rsidRPr="00DD258A">
        <w:rPr>
          <w:color w:val="auto"/>
        </w:rPr>
        <w:t>§17.2 Hvem gælder ordningen for</w:t>
      </w:r>
    </w:p>
    <w:p w14:paraId="413317A6" w14:textId="77777777" w:rsidR="00DD210B" w:rsidRPr="00DD258A" w:rsidRDefault="00DD210B" w:rsidP="00DD210B"/>
    <w:p w14:paraId="601F0FAC" w14:textId="77777777" w:rsidR="00DD210B" w:rsidRPr="00DD258A" w:rsidRDefault="00DD210B" w:rsidP="00DD210B">
      <w:r w:rsidRPr="00DD258A">
        <w:t xml:space="preserve">Ordningen for affald fra olie- og benzinudskillere gælder for alle virksomheder i </w:t>
      </w:r>
      <w:r w:rsidR="00FD2861" w:rsidRPr="00DD258A">
        <w:t>Vordingborg Kommune</w:t>
      </w:r>
      <w:r w:rsidRPr="00DD258A">
        <w:t>.</w:t>
      </w:r>
    </w:p>
    <w:p w14:paraId="22A9278E" w14:textId="77777777" w:rsidR="00DD210B" w:rsidRPr="00DD258A" w:rsidRDefault="00DD210B" w:rsidP="00DD210B"/>
    <w:p w14:paraId="4E5F45E8" w14:textId="77777777" w:rsidR="00DD210B" w:rsidRPr="00DD258A" w:rsidRDefault="00DD210B" w:rsidP="006611A1">
      <w:pPr>
        <w:pStyle w:val="Overskrift2"/>
        <w:rPr>
          <w:color w:val="auto"/>
        </w:rPr>
      </w:pPr>
      <w:r w:rsidRPr="00DD258A">
        <w:rPr>
          <w:color w:val="auto"/>
        </w:rPr>
        <w:t>§17.3 Beskrivelse af ordningen</w:t>
      </w:r>
    </w:p>
    <w:p w14:paraId="3809AE86" w14:textId="77777777" w:rsidR="00DD210B" w:rsidRPr="00DD258A" w:rsidRDefault="00DD210B" w:rsidP="00DD210B"/>
    <w:p w14:paraId="66790AF7" w14:textId="77777777" w:rsidR="00DD210B" w:rsidRPr="00DD258A" w:rsidRDefault="00DD210B" w:rsidP="00DD210B">
      <w:r w:rsidRPr="00DD258A">
        <w:t xml:space="preserve">Ordningen for affald fra olie- og benzinudskillere er en indsamlingsordning. </w:t>
      </w:r>
    </w:p>
    <w:p w14:paraId="4CA6A017" w14:textId="77777777" w:rsidR="00DD210B" w:rsidRPr="00DD258A" w:rsidRDefault="00DD210B" w:rsidP="00DD210B"/>
    <w:p w14:paraId="2F585D96" w14:textId="77777777" w:rsidR="00DD210B" w:rsidRPr="00DD258A" w:rsidRDefault="00DD210B" w:rsidP="00DD210B">
      <w:pPr>
        <w:pStyle w:val="Normaloverskrift"/>
      </w:pPr>
      <w:r w:rsidRPr="00DD258A">
        <w:t>Benyttelsespligt</w:t>
      </w:r>
    </w:p>
    <w:p w14:paraId="6C0B050D" w14:textId="77777777" w:rsidR="00DD210B" w:rsidRPr="00DD258A" w:rsidRDefault="00DD210B" w:rsidP="00DD210B">
      <w:r w:rsidRPr="00DD258A">
        <w:t>Virksomheden er forpligtet til at benytte kommunens indsamlingsordning for affald fra olie- og benzinudskillere</w:t>
      </w:r>
      <w:r w:rsidR="00460F24" w:rsidRPr="00DD258A">
        <w:t>, der varetages af I/S Alfa Specialaffald</w:t>
      </w:r>
      <w:r w:rsidRPr="00DD258A">
        <w:t>.</w:t>
      </w:r>
    </w:p>
    <w:p w14:paraId="7DCDC173" w14:textId="77777777" w:rsidR="00DD210B" w:rsidRPr="00DD258A" w:rsidRDefault="00DD210B" w:rsidP="00DD210B"/>
    <w:p w14:paraId="59835130" w14:textId="2B93C371" w:rsidR="00DD210B" w:rsidRPr="00DD258A" w:rsidRDefault="00DD210B" w:rsidP="00DD210B">
      <w:r w:rsidRPr="00DD258A">
        <w:t>Virksomheden kan søge fritagelse for benyttelsespligten efter affalds</w:t>
      </w:r>
      <w:r w:rsidR="00353607">
        <w:t>aktør</w:t>
      </w:r>
      <w:r w:rsidRPr="00DD258A">
        <w:t xml:space="preserve">bekendtgørelsens § </w:t>
      </w:r>
      <w:r w:rsidR="00353607">
        <w:t>13</w:t>
      </w:r>
      <w:r w:rsidRPr="00DD258A">
        <w:t>.</w:t>
      </w:r>
    </w:p>
    <w:p w14:paraId="1DCE7462" w14:textId="77777777" w:rsidR="00AB41F7" w:rsidRPr="00DD258A" w:rsidRDefault="00AB41F7" w:rsidP="00AB41F7"/>
    <w:p w14:paraId="14539431" w14:textId="77777777" w:rsidR="00AB41F7" w:rsidRPr="00DD258A" w:rsidRDefault="00AB41F7" w:rsidP="00AB41F7">
      <w:r w:rsidRPr="00DD258A">
        <w:t>I henhold til miljøbeskyttelsesloven § 45, stk. 4 skal an</w:t>
      </w:r>
      <w:r w:rsidR="00460F24" w:rsidRPr="00DD258A">
        <w:t>søgning om fritagelse</w:t>
      </w:r>
      <w:r w:rsidRPr="00DD258A">
        <w:t xml:space="preserve"> til kommunen indgives ved anvendelse af digital selvbetjening. Anmeldelser som ikke indgives ved digital selvbetjening kan afvises af kommunen.</w:t>
      </w:r>
    </w:p>
    <w:p w14:paraId="6568E54E" w14:textId="77777777" w:rsidR="00CC0344" w:rsidRPr="00DD258A" w:rsidRDefault="00CC0344" w:rsidP="00DD210B"/>
    <w:p w14:paraId="0431C272" w14:textId="77777777" w:rsidR="00DD210B" w:rsidRPr="00DD258A" w:rsidRDefault="00DD210B" w:rsidP="00DD210B">
      <w:pPr>
        <w:pStyle w:val="Normaloverskrift"/>
      </w:pPr>
      <w:r w:rsidRPr="00DD258A">
        <w:t>Tømningsfrekvens</w:t>
      </w:r>
    </w:p>
    <w:p w14:paraId="03FD527B" w14:textId="77777777" w:rsidR="00DD210B" w:rsidRPr="00DD258A" w:rsidRDefault="00DD210B" w:rsidP="00DD210B">
      <w:r w:rsidRPr="00DD258A">
        <w:t>Olie- og benzinudskillere samt sandfang, skal tømmes med den tømningsfrekvens, der er fastsat i anlæggets udledningstilladelse eller tilslutningstilladelse efter § 28</w:t>
      </w:r>
      <w:r w:rsidR="00E83EFE" w:rsidRPr="00DD258A">
        <w:t>, påbud efter § 30 eller miljøgodkendelse efter § 33</w:t>
      </w:r>
      <w:r w:rsidRPr="00DD258A">
        <w:t xml:space="preserve"> i miljøbeskyttelsesloven</w:t>
      </w:r>
      <w:r w:rsidR="00E83EFE" w:rsidRPr="00DD258A">
        <w:t>.</w:t>
      </w:r>
    </w:p>
    <w:p w14:paraId="2851DB9A" w14:textId="77777777" w:rsidR="00DD210B" w:rsidRPr="00DD258A" w:rsidRDefault="00DD210B" w:rsidP="00DD210B"/>
    <w:p w14:paraId="67626F25" w14:textId="77777777" w:rsidR="00DD210B" w:rsidRPr="00DD258A" w:rsidRDefault="00DD210B" w:rsidP="00DD210B">
      <w:r w:rsidRPr="00DD258A">
        <w:t xml:space="preserve">Såfremt udledningstilladelsen eller tilslutningstilladelsen ikke indeholder vilkår om tømningsfrekvens, skal affaldet afhentes minimum én gang årligt, med mindre </w:t>
      </w:r>
      <w:r w:rsidR="00FD2861" w:rsidRPr="00DD258A">
        <w:t>Vordingborg Kommune</w:t>
      </w:r>
      <w:r w:rsidRPr="00DD258A">
        <w:t xml:space="preserve"> bestemmer andet.</w:t>
      </w:r>
      <w:r w:rsidR="00542384" w:rsidRPr="00DD258A">
        <w:t xml:space="preserve"> Det gælder også for virksomheder, der ikke har en udlednings- eller tilslutningstilladelse.</w:t>
      </w:r>
    </w:p>
    <w:p w14:paraId="464ED43B" w14:textId="77777777" w:rsidR="00E83EFE" w:rsidRPr="00DD258A" w:rsidRDefault="00E83EFE" w:rsidP="00DD210B"/>
    <w:p w14:paraId="5930A397" w14:textId="77777777" w:rsidR="00E83EFE" w:rsidRPr="00DD258A" w:rsidRDefault="00E83EFE" w:rsidP="00DD210B">
      <w:r w:rsidRPr="00DD258A">
        <w:t>Hvis den planlagte tømningsfrekvens ikke er tilstrækkelig, påhviler det virksomheden at rekvirere de nødvendige ekstra tømninger.</w:t>
      </w:r>
    </w:p>
    <w:p w14:paraId="3A00AEA0" w14:textId="77777777" w:rsidR="00DD210B" w:rsidRPr="00DD258A" w:rsidRDefault="00DD210B" w:rsidP="00DD210B"/>
    <w:p w14:paraId="4737F0A3" w14:textId="77777777" w:rsidR="00DD210B" w:rsidRPr="00DD258A" w:rsidRDefault="00DD210B" w:rsidP="00DD210B">
      <w:pPr>
        <w:pStyle w:val="Normaloverskrift"/>
      </w:pPr>
      <w:r w:rsidRPr="00DD258A">
        <w:t>Adgangsforhold</w:t>
      </w:r>
    </w:p>
    <w:p w14:paraId="4817861D" w14:textId="77777777" w:rsidR="00DD210B" w:rsidRPr="00DD258A" w:rsidRDefault="00DD210B" w:rsidP="00DD210B">
      <w:r w:rsidRPr="00DD258A">
        <w:t>Virksomheden skal sikre, at der inden for normal arbejdstid er let og uhindret adgang til olie- og benzinudskillere, herunder at tømningsstedet kan tilkøres af slamsuger.</w:t>
      </w:r>
    </w:p>
    <w:p w14:paraId="4980EBC3" w14:textId="77777777" w:rsidR="00DD210B" w:rsidRPr="00DD258A" w:rsidRDefault="00DD210B" w:rsidP="00DD210B"/>
    <w:p w14:paraId="71E180E3" w14:textId="77777777" w:rsidR="00DD210B" w:rsidRPr="00DD258A" w:rsidRDefault="00DD210B" w:rsidP="00DD210B">
      <w:pPr>
        <w:pStyle w:val="Normaloverskrift"/>
      </w:pPr>
      <w:r w:rsidRPr="00DD258A">
        <w:t>Økonomi</w:t>
      </w:r>
    </w:p>
    <w:p w14:paraId="731A77A0" w14:textId="77777777" w:rsidR="00DD210B" w:rsidRPr="00DD258A" w:rsidRDefault="00DD210B" w:rsidP="00DD210B">
      <w:r w:rsidRPr="00DD258A">
        <w:t>Virksomheden skal betale de gebyrer, der er forbundet med ordningen. Afregning for øvrige tilkøb i forbindelse med tømningen af olie- og benzinudskillere samt sandfang er kommunen uvedkommende.</w:t>
      </w:r>
    </w:p>
    <w:p w14:paraId="596C3C5F" w14:textId="77777777" w:rsidR="00DD210B" w:rsidRPr="00DD258A" w:rsidRDefault="00DD210B" w:rsidP="00DD210B"/>
    <w:p w14:paraId="4CF86C58" w14:textId="77777777" w:rsidR="00DD210B" w:rsidRPr="00DD258A" w:rsidRDefault="00DD210B">
      <w:pPr>
        <w:spacing w:after="200"/>
      </w:pPr>
      <w:r w:rsidRPr="00DD258A">
        <w:br w:type="page"/>
      </w:r>
    </w:p>
    <w:p w14:paraId="71614EDF" w14:textId="6894B14D" w:rsidR="00065552" w:rsidRPr="00DD258A" w:rsidRDefault="00065552" w:rsidP="006611A1">
      <w:pPr>
        <w:pStyle w:val="Overskrift1"/>
      </w:pPr>
      <w:bookmarkStart w:id="18" w:name="_Toc178844980"/>
      <w:r w:rsidRPr="00DD258A">
        <w:lastRenderedPageBreak/>
        <w:t xml:space="preserve">Ordning for </w:t>
      </w:r>
      <w:r w:rsidR="00765341">
        <w:t>særskilt indsamlet</w:t>
      </w:r>
      <w:r w:rsidRPr="00DD258A">
        <w:t xml:space="preserve"> genanvendeligt affald</w:t>
      </w:r>
      <w:bookmarkEnd w:id="18"/>
    </w:p>
    <w:p w14:paraId="3D1BB839" w14:textId="4ABC5314" w:rsidR="00065552" w:rsidRPr="00DD258A" w:rsidRDefault="00065552" w:rsidP="006611A1">
      <w:pPr>
        <w:pStyle w:val="Overskrift2"/>
        <w:rPr>
          <w:color w:val="auto"/>
        </w:rPr>
      </w:pPr>
      <w:r w:rsidRPr="00DD258A">
        <w:rPr>
          <w:color w:val="auto"/>
        </w:rPr>
        <w:t xml:space="preserve">§18.1 Hvad er </w:t>
      </w:r>
      <w:r w:rsidR="00765341">
        <w:rPr>
          <w:color w:val="auto"/>
        </w:rPr>
        <w:t>særskilt indsamlet</w:t>
      </w:r>
      <w:r w:rsidRPr="00DD258A">
        <w:rPr>
          <w:color w:val="auto"/>
        </w:rPr>
        <w:t xml:space="preserve"> genanvendeligt affald</w:t>
      </w:r>
    </w:p>
    <w:p w14:paraId="6B773C3E" w14:textId="77777777" w:rsidR="00065552" w:rsidRPr="00DD258A" w:rsidRDefault="00065552" w:rsidP="00065552"/>
    <w:p w14:paraId="584F190C" w14:textId="35CC08CC" w:rsidR="00065552" w:rsidRPr="00DD258A" w:rsidRDefault="00765341" w:rsidP="00065552">
      <w:r>
        <w:t xml:space="preserve">Særskilt indsamlet </w:t>
      </w:r>
      <w:r w:rsidR="00065552" w:rsidRPr="00DD258A">
        <w:t>genanvendeligt affald er affald som defineret i følgende paragraffer i Regulativ for husholdningsaffald:</w:t>
      </w:r>
    </w:p>
    <w:p w14:paraId="6D80CB61" w14:textId="77777777" w:rsidR="00101943" w:rsidRPr="00DD258A" w:rsidRDefault="00101943" w:rsidP="00065552"/>
    <w:p w14:paraId="01074945" w14:textId="6F7A4E7A" w:rsidR="00065552" w:rsidRPr="00DD258A" w:rsidRDefault="00065552" w:rsidP="00065552">
      <w:pPr>
        <w:pStyle w:val="Listeafsnit"/>
        <w:numPr>
          <w:ilvl w:val="0"/>
          <w:numId w:val="6"/>
        </w:numPr>
      </w:pPr>
      <w:r w:rsidRPr="00DD258A">
        <w:t xml:space="preserve">§ 10 Ordning for </w:t>
      </w:r>
      <w:r w:rsidR="00765341">
        <w:t>mad</w:t>
      </w:r>
      <w:r w:rsidRPr="00DD258A">
        <w:t>affald</w:t>
      </w:r>
    </w:p>
    <w:p w14:paraId="0F928774" w14:textId="42218C64" w:rsidR="00065552" w:rsidRPr="00DD258A" w:rsidRDefault="00065552" w:rsidP="00065552">
      <w:pPr>
        <w:pStyle w:val="Listeafsnit"/>
        <w:numPr>
          <w:ilvl w:val="0"/>
          <w:numId w:val="6"/>
        </w:numPr>
      </w:pPr>
      <w:r w:rsidRPr="00DD258A">
        <w:t xml:space="preserve">§ 11 Ordning for </w:t>
      </w:r>
      <w:r w:rsidR="00765341">
        <w:t>papir</w:t>
      </w:r>
      <w:r w:rsidRPr="00DD258A">
        <w:t>affald</w:t>
      </w:r>
    </w:p>
    <w:p w14:paraId="03632724" w14:textId="1C13ABBA" w:rsidR="00065552" w:rsidRPr="00DD258A" w:rsidRDefault="00065552" w:rsidP="00065552">
      <w:pPr>
        <w:pStyle w:val="Listeafsnit"/>
        <w:numPr>
          <w:ilvl w:val="0"/>
          <w:numId w:val="6"/>
        </w:numPr>
      </w:pPr>
      <w:r w:rsidRPr="00DD258A">
        <w:t xml:space="preserve">§ 12 Ordning for </w:t>
      </w:r>
      <w:r w:rsidR="00765341">
        <w:t>pap</w:t>
      </w:r>
      <w:r w:rsidRPr="00DD258A">
        <w:t>affald</w:t>
      </w:r>
    </w:p>
    <w:p w14:paraId="0DE13F53" w14:textId="39AFB86A" w:rsidR="00065552" w:rsidRPr="00DD258A" w:rsidRDefault="00065552" w:rsidP="00065552">
      <w:pPr>
        <w:pStyle w:val="Listeafsnit"/>
        <w:numPr>
          <w:ilvl w:val="0"/>
          <w:numId w:val="6"/>
        </w:numPr>
      </w:pPr>
      <w:r w:rsidRPr="00DD258A">
        <w:t xml:space="preserve">§ 13 Ordning for </w:t>
      </w:r>
      <w:r w:rsidR="00765341">
        <w:t>glas</w:t>
      </w:r>
      <w:r w:rsidRPr="00DD258A">
        <w:t>affald</w:t>
      </w:r>
    </w:p>
    <w:p w14:paraId="15470791" w14:textId="25429D0A" w:rsidR="00065552" w:rsidRPr="00DD258A" w:rsidRDefault="00065552" w:rsidP="00065552">
      <w:pPr>
        <w:pStyle w:val="Listeafsnit"/>
        <w:numPr>
          <w:ilvl w:val="0"/>
          <w:numId w:val="6"/>
        </w:numPr>
      </w:pPr>
      <w:r w:rsidRPr="00DD258A">
        <w:t xml:space="preserve">§ 14 Ordning for </w:t>
      </w:r>
      <w:r w:rsidR="00765341">
        <w:t>metal</w:t>
      </w:r>
      <w:r w:rsidRPr="00DD258A">
        <w:t>affald</w:t>
      </w:r>
    </w:p>
    <w:p w14:paraId="60FA0E8B" w14:textId="21EFB712" w:rsidR="00124755" w:rsidRDefault="00124755" w:rsidP="00065552">
      <w:pPr>
        <w:pStyle w:val="Listeafsnit"/>
        <w:numPr>
          <w:ilvl w:val="0"/>
          <w:numId w:val="6"/>
        </w:numPr>
      </w:pPr>
      <w:r w:rsidRPr="00DD258A">
        <w:t xml:space="preserve">§ </w:t>
      </w:r>
      <w:r w:rsidR="00765341">
        <w:t>15</w:t>
      </w:r>
      <w:r w:rsidRPr="00DD258A">
        <w:t xml:space="preserve"> Ordning for </w:t>
      </w:r>
      <w:r w:rsidR="00765341">
        <w:t>plastaffald</w:t>
      </w:r>
    </w:p>
    <w:p w14:paraId="21C72F05" w14:textId="1E0B921A" w:rsidR="00765341" w:rsidRPr="00DD258A" w:rsidRDefault="00765341" w:rsidP="00065552">
      <w:pPr>
        <w:pStyle w:val="Listeafsnit"/>
        <w:numPr>
          <w:ilvl w:val="0"/>
          <w:numId w:val="6"/>
        </w:numPr>
      </w:pPr>
      <w:r>
        <w:t>§ 16 Ordning for mad- og drikkekartonaffald</w:t>
      </w:r>
    </w:p>
    <w:p w14:paraId="740CC9EA" w14:textId="77777777" w:rsidR="00065552" w:rsidRPr="00DD258A" w:rsidRDefault="00065552" w:rsidP="00065552"/>
    <w:p w14:paraId="29AB0F3E" w14:textId="77777777" w:rsidR="00065552" w:rsidRPr="00DD258A" w:rsidRDefault="00065552" w:rsidP="006611A1">
      <w:pPr>
        <w:pStyle w:val="Overskrift2"/>
        <w:rPr>
          <w:color w:val="auto"/>
        </w:rPr>
      </w:pPr>
      <w:r w:rsidRPr="00DD258A">
        <w:rPr>
          <w:color w:val="auto"/>
        </w:rPr>
        <w:t>§18.2 Hvem gælder ordningen for</w:t>
      </w:r>
    </w:p>
    <w:p w14:paraId="22749378" w14:textId="77777777" w:rsidR="00065552" w:rsidRPr="00DD258A" w:rsidRDefault="00065552" w:rsidP="00065552"/>
    <w:p w14:paraId="233767C8" w14:textId="6ACFA0B3" w:rsidR="00765341" w:rsidRPr="00765341" w:rsidRDefault="00765341" w:rsidP="00065552">
      <w:pPr>
        <w:pStyle w:val="Normaloverskrift"/>
        <w:rPr>
          <w:b w:val="0"/>
          <w:bCs/>
        </w:rPr>
      </w:pPr>
      <w:r w:rsidRPr="00765341">
        <w:rPr>
          <w:b w:val="0"/>
          <w:bCs/>
        </w:rPr>
        <w:t xml:space="preserve">Ordningen gælder for alle virksomheder samt kommunale virksomheder og institutioner beliggende i </w:t>
      </w:r>
      <w:r>
        <w:rPr>
          <w:b w:val="0"/>
          <w:bCs/>
        </w:rPr>
        <w:t>Vordingborg</w:t>
      </w:r>
      <w:r w:rsidRPr="00765341">
        <w:rPr>
          <w:b w:val="0"/>
          <w:bCs/>
        </w:rPr>
        <w:t xml:space="preserve"> Kommune.</w:t>
      </w:r>
    </w:p>
    <w:p w14:paraId="0697A881" w14:textId="77777777" w:rsidR="00065552" w:rsidRPr="00DD258A" w:rsidRDefault="00065552" w:rsidP="00065552"/>
    <w:p w14:paraId="03280268" w14:textId="77777777" w:rsidR="00065552" w:rsidRDefault="00065552" w:rsidP="006611A1">
      <w:pPr>
        <w:pStyle w:val="Overskrift2"/>
        <w:rPr>
          <w:color w:val="auto"/>
        </w:rPr>
      </w:pPr>
      <w:r w:rsidRPr="00DD258A">
        <w:rPr>
          <w:color w:val="auto"/>
        </w:rPr>
        <w:t>§18.3 Beskrivelse af ordningen</w:t>
      </w:r>
    </w:p>
    <w:p w14:paraId="1ECA04FC" w14:textId="77777777" w:rsidR="00765341" w:rsidRPr="00DD258A" w:rsidRDefault="00765341" w:rsidP="00765341">
      <w:pPr>
        <w:pStyle w:val="Normaloverskrift"/>
      </w:pPr>
      <w:r w:rsidRPr="00DD258A">
        <w:t>Kommunale virksomheder og institutioner</w:t>
      </w:r>
    </w:p>
    <w:p w14:paraId="472E0240" w14:textId="64C82ADC" w:rsidR="00765341" w:rsidRPr="00DD258A" w:rsidRDefault="00765341" w:rsidP="00765341">
      <w:r w:rsidRPr="00DD258A">
        <w:t xml:space="preserve">Kommunale virksomheder og institutioner i Vordingborg Kommune kan benytte ordningen for </w:t>
      </w:r>
      <w:r>
        <w:t xml:space="preserve">særskilt indsamlet </w:t>
      </w:r>
      <w:r w:rsidRPr="00DD258A">
        <w:t>genanvendeligt affald</w:t>
      </w:r>
      <w:r>
        <w:t>, på samme vilkår som for private husstande</w:t>
      </w:r>
      <w:r w:rsidRPr="00DD258A">
        <w:t>.</w:t>
      </w:r>
    </w:p>
    <w:p w14:paraId="4B192EC3" w14:textId="77777777" w:rsidR="00765341" w:rsidRPr="00DD258A" w:rsidRDefault="00765341" w:rsidP="00765341"/>
    <w:p w14:paraId="2023BCB1" w14:textId="6E2128D0" w:rsidR="00765341" w:rsidRPr="00DD258A" w:rsidRDefault="00765341" w:rsidP="00765341">
      <w:pPr>
        <w:pStyle w:val="Normaloverskrift"/>
      </w:pPr>
      <w:r w:rsidRPr="00DD258A">
        <w:t>Virksomheder</w:t>
      </w:r>
    </w:p>
    <w:p w14:paraId="0AA7D24A" w14:textId="77777777" w:rsidR="00765341" w:rsidRDefault="00765341" w:rsidP="00765341">
      <w:r w:rsidRPr="00765341">
        <w:t xml:space="preserve">Virksomheder kan tilbydes at benytte den kommunale indsamlingsordning for sorteret genanvendeligt affald fra husholdningerne oplistet ovenfor, såfremt affaldet i mængde og art svarer til en husstands. Ved tvivlstilfælde afgør </w:t>
      </w:r>
      <w:r>
        <w:t>Vordingborg</w:t>
      </w:r>
      <w:r w:rsidRPr="00765341">
        <w:t xml:space="preserve"> </w:t>
      </w:r>
      <w:r>
        <w:t>K</w:t>
      </w:r>
      <w:r w:rsidRPr="00765341">
        <w:t>ommune om der er tale om mængder og art svarende til en husstands.</w:t>
      </w:r>
    </w:p>
    <w:p w14:paraId="2530806F" w14:textId="792B3BF3" w:rsidR="00765341" w:rsidRDefault="00765341" w:rsidP="00765341">
      <w:r w:rsidRPr="00765341">
        <w:t xml:space="preserve"> </w:t>
      </w:r>
    </w:p>
    <w:p w14:paraId="3D190FC6" w14:textId="6D9D86BC" w:rsidR="00765341" w:rsidRDefault="00765341" w:rsidP="00765341">
      <w:r w:rsidRPr="00765341">
        <w:t xml:space="preserve">Virksomheders benyttelse af indsamlingsordningerne er på samme vilkår som for private husstande. Virksomheder skal benytte det opsamlingsmateriel, som stilles til rådighed i den kommunale indsamlingsordning for enfamilieboliger. </w:t>
      </w:r>
    </w:p>
    <w:p w14:paraId="6686F24A" w14:textId="77777777" w:rsidR="00765341" w:rsidRDefault="00765341" w:rsidP="00765341"/>
    <w:p w14:paraId="732CB446" w14:textId="77777777" w:rsidR="00EB4B81" w:rsidRDefault="00765341" w:rsidP="00765341">
      <w:r w:rsidRPr="00765341">
        <w:t xml:space="preserve">Ordningen er ikke obligatorisk og skal udelukkende ses som et tilbud til virksomhederne. </w:t>
      </w:r>
    </w:p>
    <w:p w14:paraId="70DAA36C" w14:textId="77777777" w:rsidR="00EB4B81" w:rsidRDefault="00EB4B81" w:rsidP="00765341"/>
    <w:p w14:paraId="766ACA92" w14:textId="77777777" w:rsidR="00EB4B81" w:rsidRPr="00EB4B81" w:rsidRDefault="00765341" w:rsidP="00765341">
      <w:pPr>
        <w:rPr>
          <w:b/>
          <w:bCs/>
        </w:rPr>
      </w:pPr>
      <w:r w:rsidRPr="00EB4B81">
        <w:rPr>
          <w:b/>
          <w:bCs/>
        </w:rPr>
        <w:t xml:space="preserve">Adgangsveje og standplads </w:t>
      </w:r>
    </w:p>
    <w:p w14:paraId="60A0A39F" w14:textId="1AF838F5" w:rsidR="00EB4B81" w:rsidRDefault="00765341" w:rsidP="00765341">
      <w:r w:rsidRPr="00765341">
        <w:t>Benyttes den kommunale indsamlingsordning</w:t>
      </w:r>
      <w:r w:rsidR="00EB4B81">
        <w:t>er</w:t>
      </w:r>
      <w:r w:rsidRPr="00765341">
        <w:t xml:space="preserve"> i regulativ for husholdningsaffald, skal virksomheden sætte opsamlingsmateriellet frem til skel forud for tømning. Ønskes der tømning længere inde på grunden, skal placering af opsamlingsmateriel opfylde kravene for afhentning i bilag 1 </w:t>
      </w:r>
      <w:r w:rsidR="00EB4B81">
        <w:t xml:space="preserve">til regulativ for husholdningsaffald </w:t>
      </w:r>
      <w:r w:rsidRPr="00765341">
        <w:t xml:space="preserve">om indretning af standpladser og adgangsveje, herunder vanskelige adgangsveje. </w:t>
      </w:r>
    </w:p>
    <w:p w14:paraId="27A6CBF0" w14:textId="77777777" w:rsidR="00EB4B81" w:rsidRDefault="00EB4B81" w:rsidP="00765341"/>
    <w:p w14:paraId="4E9EF9F3" w14:textId="77777777" w:rsidR="00EB4B81" w:rsidRPr="00EB4B81" w:rsidRDefault="00765341" w:rsidP="00765341">
      <w:pPr>
        <w:rPr>
          <w:b/>
          <w:bCs/>
        </w:rPr>
      </w:pPr>
      <w:r w:rsidRPr="00EB4B81">
        <w:rPr>
          <w:b/>
          <w:bCs/>
        </w:rPr>
        <w:t xml:space="preserve">Økonomi </w:t>
      </w:r>
    </w:p>
    <w:p w14:paraId="54D7AC30" w14:textId="6FFC58FC" w:rsidR="00EB4B81" w:rsidRDefault="00765341" w:rsidP="00765341">
      <w:r w:rsidRPr="00765341">
        <w:lastRenderedPageBreak/>
        <w:t xml:space="preserve">Ved benyttelse af de kommunale ordninger for sorteret genanvendeligt affald betales gebyr som fremgår af gebyrbladet i </w:t>
      </w:r>
      <w:r w:rsidR="00EB4B81">
        <w:t>Vordingborg</w:t>
      </w:r>
      <w:r w:rsidRPr="00765341">
        <w:t xml:space="preserve"> Kommune. </w:t>
      </w:r>
    </w:p>
    <w:p w14:paraId="4F8FCB3F" w14:textId="77777777" w:rsidR="00EB4B81" w:rsidRDefault="00EB4B81" w:rsidP="00765341"/>
    <w:p w14:paraId="7FA399E6" w14:textId="77777777" w:rsidR="00EB4B81" w:rsidRPr="00EB4B81" w:rsidRDefault="00765341" w:rsidP="00EB4B81">
      <w:pPr>
        <w:rPr>
          <w:b/>
          <w:bCs/>
        </w:rPr>
      </w:pPr>
      <w:r w:rsidRPr="00EB4B81">
        <w:rPr>
          <w:b/>
          <w:bCs/>
        </w:rPr>
        <w:t xml:space="preserve">Anmeldelse </w:t>
      </w:r>
    </w:p>
    <w:p w14:paraId="4C4D9EBE" w14:textId="3C01A07B" w:rsidR="00765341" w:rsidRDefault="00765341" w:rsidP="00EB4B81">
      <w:r w:rsidRPr="00765341">
        <w:t xml:space="preserve">Benyttes de kommunale indsamlingsordninger for sorteret genanvendeligt affald i regulativ for husholdningsaffald, skal til- og afmelding til indsamlingsordningen ske ved kontakt til </w:t>
      </w:r>
      <w:r w:rsidR="00EB4B81">
        <w:t>Vordingborg Kommune</w:t>
      </w:r>
      <w:r w:rsidRPr="00765341">
        <w:t>.</w:t>
      </w:r>
    </w:p>
    <w:p w14:paraId="6472DBD5" w14:textId="77777777" w:rsidR="00EB4B81" w:rsidRPr="00765341" w:rsidRDefault="00EB4B81" w:rsidP="00EB4B81"/>
    <w:p w14:paraId="0E68B906" w14:textId="4A7D0DD6" w:rsidR="00DD210B" w:rsidRPr="00DD258A" w:rsidRDefault="00DD210B" w:rsidP="00065552"/>
    <w:sectPr w:rsidR="00DD210B" w:rsidRPr="00DD258A" w:rsidSect="009B777A">
      <w:headerReference w:type="default" r:id="rId10"/>
      <w:footerReference w:type="default" r:id="rId11"/>
      <w:pgSz w:w="11906" w:h="16838" w:code="9"/>
      <w:pgMar w:top="1560" w:right="1134" w:bottom="1560"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0C619" w14:textId="77777777" w:rsidR="001F7737" w:rsidRPr="00380B51" w:rsidRDefault="001F7737" w:rsidP="00091062">
      <w:pPr>
        <w:spacing w:line="240" w:lineRule="auto"/>
      </w:pPr>
      <w:r w:rsidRPr="00380B51">
        <w:separator/>
      </w:r>
    </w:p>
  </w:endnote>
  <w:endnote w:type="continuationSeparator" w:id="0">
    <w:p w14:paraId="1CEA3FDE" w14:textId="77777777" w:rsidR="001F7737" w:rsidRPr="00380B51" w:rsidRDefault="001F7737" w:rsidP="00091062">
      <w:pPr>
        <w:spacing w:line="240" w:lineRule="auto"/>
      </w:pPr>
      <w:r w:rsidRPr="0038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B3644" w14:textId="77777777" w:rsidR="001F7737" w:rsidRDefault="001F7737">
    <w:pPr>
      <w:pStyle w:val="Sidefod"/>
    </w:pPr>
    <w:r>
      <w:rPr>
        <w:noProof/>
        <w:lang w:eastAsia="da-DK"/>
      </w:rPr>
      <w:drawing>
        <wp:anchor distT="0" distB="0" distL="114300" distR="114300" simplePos="0" relativeHeight="251664384" behindDoc="1" locked="0" layoutInCell="1" allowOverlap="1" wp14:anchorId="76CD3C9E" wp14:editId="3A9B7568">
          <wp:simplePos x="0" y="0"/>
          <wp:positionH relativeFrom="page">
            <wp:posOffset>723900</wp:posOffset>
          </wp:positionH>
          <wp:positionV relativeFrom="page">
            <wp:posOffset>8924925</wp:posOffset>
          </wp:positionV>
          <wp:extent cx="3131820" cy="1043305"/>
          <wp:effectExtent l="0" t="0" r="0" b="4445"/>
          <wp:wrapNone/>
          <wp:docPr id="686295723" name="Billede 6862957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820" cy="10433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589627"/>
      <w:docPartObj>
        <w:docPartGallery w:val="Page Numbers (Bottom of Page)"/>
        <w:docPartUnique/>
      </w:docPartObj>
    </w:sdtPr>
    <w:sdtEndPr>
      <w:rPr>
        <w:sz w:val="17"/>
        <w:szCs w:val="17"/>
      </w:rPr>
    </w:sdtEndPr>
    <w:sdtContent>
      <w:p w14:paraId="15AC28E1" w14:textId="77777777" w:rsidR="001F7737" w:rsidRPr="00741A24" w:rsidRDefault="001F7737">
        <w:pPr>
          <w:pStyle w:val="Sidefod"/>
          <w:jc w:val="right"/>
          <w:rPr>
            <w:sz w:val="17"/>
            <w:szCs w:val="17"/>
          </w:rPr>
        </w:pPr>
        <w:r w:rsidRPr="00741A24">
          <w:rPr>
            <w:sz w:val="17"/>
            <w:szCs w:val="17"/>
          </w:rPr>
          <w:fldChar w:fldCharType="begin"/>
        </w:r>
        <w:r w:rsidRPr="00741A24">
          <w:rPr>
            <w:sz w:val="17"/>
            <w:szCs w:val="17"/>
          </w:rPr>
          <w:instrText>PAGE   \* MERGEFORMAT</w:instrText>
        </w:r>
        <w:r w:rsidRPr="00741A24">
          <w:rPr>
            <w:sz w:val="17"/>
            <w:szCs w:val="17"/>
          </w:rPr>
          <w:fldChar w:fldCharType="separate"/>
        </w:r>
        <w:r w:rsidR="00DF4486">
          <w:rPr>
            <w:noProof/>
            <w:sz w:val="17"/>
            <w:szCs w:val="17"/>
          </w:rPr>
          <w:t>26</w:t>
        </w:r>
        <w:r w:rsidRPr="00741A24">
          <w:rPr>
            <w:sz w:val="17"/>
            <w:szCs w:val="17"/>
          </w:rPr>
          <w:fldChar w:fldCharType="end"/>
        </w:r>
      </w:p>
    </w:sdtContent>
  </w:sdt>
  <w:p w14:paraId="08A90A98" w14:textId="77777777" w:rsidR="001F7737" w:rsidRPr="00A03672" w:rsidRDefault="001F7737" w:rsidP="00A036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033D9" w14:textId="77777777" w:rsidR="001F7737" w:rsidRPr="00380B51" w:rsidRDefault="001F7737" w:rsidP="00091062">
      <w:pPr>
        <w:spacing w:line="240" w:lineRule="auto"/>
      </w:pPr>
      <w:r w:rsidRPr="00380B51">
        <w:separator/>
      </w:r>
    </w:p>
  </w:footnote>
  <w:footnote w:type="continuationSeparator" w:id="0">
    <w:p w14:paraId="0BE4BEC2" w14:textId="77777777" w:rsidR="001F7737" w:rsidRPr="00380B51" w:rsidRDefault="001F7737" w:rsidP="00091062">
      <w:pPr>
        <w:spacing w:line="240" w:lineRule="auto"/>
      </w:pPr>
      <w:r w:rsidRPr="00380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E4A5B" w14:textId="77777777" w:rsidR="001F7737" w:rsidRPr="00380B51" w:rsidRDefault="001F7737">
    <w:pPr>
      <w:pStyle w:val="Sidehoved"/>
    </w:pPr>
    <w:r>
      <w:rPr>
        <w:noProof/>
        <w:lang w:eastAsia="da-DK"/>
      </w:rPr>
      <w:drawing>
        <wp:anchor distT="0" distB="0" distL="114300" distR="114300" simplePos="0" relativeHeight="251665408" behindDoc="1" locked="0" layoutInCell="1" allowOverlap="1" wp14:anchorId="0ED3B2F1" wp14:editId="6A847AB9">
          <wp:simplePos x="0" y="0"/>
          <wp:positionH relativeFrom="page">
            <wp:posOffset>719455</wp:posOffset>
          </wp:positionH>
          <wp:positionV relativeFrom="page">
            <wp:posOffset>755650</wp:posOffset>
          </wp:positionV>
          <wp:extent cx="2519680" cy="755650"/>
          <wp:effectExtent l="0" t="0" r="0" b="6350"/>
          <wp:wrapNone/>
          <wp:docPr id="455106176" name="Billede 45510617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380B51">
      <w:rPr>
        <w:noProof/>
        <w:lang w:eastAsia="da-DK"/>
      </w:rPr>
      <mc:AlternateContent>
        <mc:Choice Requires="wps">
          <w:drawing>
            <wp:anchor distT="0" distB="0" distL="114300" distR="114300" simplePos="0" relativeHeight="251661312" behindDoc="1" locked="0" layoutInCell="1" allowOverlap="1" wp14:anchorId="77650DBB" wp14:editId="7ACCA8CE">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BC16C"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380B51">
      <w:rPr>
        <w:noProof/>
        <w:lang w:eastAsia="da-DK"/>
      </w:rPr>
      <mc:AlternateContent>
        <mc:Choice Requires="wps">
          <w:drawing>
            <wp:anchor distT="0" distB="0" distL="114300" distR="114300" simplePos="0" relativeHeight="251659264" behindDoc="1" locked="0" layoutInCell="1" allowOverlap="1" wp14:anchorId="1874DA01" wp14:editId="55DC12E2">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E4049"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03D3A" w14:textId="77777777" w:rsidR="001F7737" w:rsidRPr="005B20C1" w:rsidRDefault="001F7737" w:rsidP="005B20C1">
    <w:pPr>
      <w:pStyle w:val="Sidehove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045A5"/>
    <w:multiLevelType w:val="hybridMultilevel"/>
    <w:tmpl w:val="08ACFF20"/>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 w15:restartNumberingAfterBreak="0">
    <w:nsid w:val="17FE0FEA"/>
    <w:multiLevelType w:val="multilevel"/>
    <w:tmpl w:val="880A4994"/>
    <w:lvl w:ilvl="0">
      <w:start w:val="1"/>
      <w:numFmt w:val="decimal"/>
      <w:pStyle w:val="Overskrift1"/>
      <w:lvlText w:val="§ %1 "/>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 w15:restartNumberingAfterBreak="0">
    <w:nsid w:val="1891205A"/>
    <w:multiLevelType w:val="hybridMultilevel"/>
    <w:tmpl w:val="82E4F1AC"/>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BF799D"/>
    <w:multiLevelType w:val="hybridMultilevel"/>
    <w:tmpl w:val="AD447DBC"/>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15:restartNumberingAfterBreak="0">
    <w:nsid w:val="1A2B22BD"/>
    <w:multiLevelType w:val="hybridMultilevel"/>
    <w:tmpl w:val="DEA85CC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F213CC1"/>
    <w:multiLevelType w:val="hybridMultilevel"/>
    <w:tmpl w:val="073626BA"/>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332D41"/>
    <w:multiLevelType w:val="hybridMultilevel"/>
    <w:tmpl w:val="B54CC9CA"/>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79B4700"/>
    <w:multiLevelType w:val="hybridMultilevel"/>
    <w:tmpl w:val="94007142"/>
    <w:lvl w:ilvl="0" w:tplc="5F00013C">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A4176D2"/>
    <w:multiLevelType w:val="hybridMultilevel"/>
    <w:tmpl w:val="451CB83C"/>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F302D54"/>
    <w:multiLevelType w:val="hybridMultilevel"/>
    <w:tmpl w:val="5FFCE60C"/>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7AE6535"/>
    <w:multiLevelType w:val="hybridMultilevel"/>
    <w:tmpl w:val="D876C630"/>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A01F69"/>
    <w:multiLevelType w:val="hybridMultilevel"/>
    <w:tmpl w:val="71C40336"/>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29E77CA"/>
    <w:multiLevelType w:val="multilevel"/>
    <w:tmpl w:val="BC6E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0102BC"/>
    <w:multiLevelType w:val="hybridMultilevel"/>
    <w:tmpl w:val="238C2E9C"/>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9C97127"/>
    <w:multiLevelType w:val="hybridMultilevel"/>
    <w:tmpl w:val="599E9D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9DB261E"/>
    <w:multiLevelType w:val="hybridMultilevel"/>
    <w:tmpl w:val="0CBA8D9C"/>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CE81AFF"/>
    <w:multiLevelType w:val="hybridMultilevel"/>
    <w:tmpl w:val="D110D3E4"/>
    <w:lvl w:ilvl="0" w:tplc="BBD8004C">
      <w:numFmt w:val="bullet"/>
      <w:lvlText w:val="•"/>
      <w:lvlJc w:val="left"/>
      <w:pPr>
        <w:ind w:left="786" w:hanging="360"/>
      </w:pPr>
      <w:rPr>
        <w:rFonts w:ascii="SymbolMT" w:eastAsiaTheme="minorHAnsi" w:hAnsi="SymbolMT" w:cs="SymbolMT" w:hint="default"/>
      </w:rPr>
    </w:lvl>
    <w:lvl w:ilvl="1" w:tplc="04060003" w:tentative="1">
      <w:start w:val="1"/>
      <w:numFmt w:val="bullet"/>
      <w:lvlText w:val="o"/>
      <w:lvlJc w:val="left"/>
      <w:pPr>
        <w:ind w:left="1506" w:hanging="360"/>
      </w:pPr>
      <w:rPr>
        <w:rFonts w:ascii="Courier New" w:hAnsi="Courier New" w:cs="Courier New" w:hint="default"/>
      </w:rPr>
    </w:lvl>
    <w:lvl w:ilvl="2" w:tplc="04060005" w:tentative="1">
      <w:start w:val="1"/>
      <w:numFmt w:val="bullet"/>
      <w:lvlText w:val=""/>
      <w:lvlJc w:val="left"/>
      <w:pPr>
        <w:ind w:left="2226" w:hanging="360"/>
      </w:pPr>
      <w:rPr>
        <w:rFonts w:ascii="Wingdings" w:hAnsi="Wingdings" w:hint="default"/>
      </w:rPr>
    </w:lvl>
    <w:lvl w:ilvl="3" w:tplc="04060001" w:tentative="1">
      <w:start w:val="1"/>
      <w:numFmt w:val="bullet"/>
      <w:lvlText w:val=""/>
      <w:lvlJc w:val="left"/>
      <w:pPr>
        <w:ind w:left="2946" w:hanging="360"/>
      </w:pPr>
      <w:rPr>
        <w:rFonts w:ascii="Symbol" w:hAnsi="Symbol" w:hint="default"/>
      </w:rPr>
    </w:lvl>
    <w:lvl w:ilvl="4" w:tplc="04060003" w:tentative="1">
      <w:start w:val="1"/>
      <w:numFmt w:val="bullet"/>
      <w:lvlText w:val="o"/>
      <w:lvlJc w:val="left"/>
      <w:pPr>
        <w:ind w:left="3666" w:hanging="360"/>
      </w:pPr>
      <w:rPr>
        <w:rFonts w:ascii="Courier New" w:hAnsi="Courier New" w:cs="Courier New" w:hint="default"/>
      </w:rPr>
    </w:lvl>
    <w:lvl w:ilvl="5" w:tplc="04060005" w:tentative="1">
      <w:start w:val="1"/>
      <w:numFmt w:val="bullet"/>
      <w:lvlText w:val=""/>
      <w:lvlJc w:val="left"/>
      <w:pPr>
        <w:ind w:left="4386" w:hanging="360"/>
      </w:pPr>
      <w:rPr>
        <w:rFonts w:ascii="Wingdings" w:hAnsi="Wingdings" w:hint="default"/>
      </w:rPr>
    </w:lvl>
    <w:lvl w:ilvl="6" w:tplc="04060001" w:tentative="1">
      <w:start w:val="1"/>
      <w:numFmt w:val="bullet"/>
      <w:lvlText w:val=""/>
      <w:lvlJc w:val="left"/>
      <w:pPr>
        <w:ind w:left="5106" w:hanging="360"/>
      </w:pPr>
      <w:rPr>
        <w:rFonts w:ascii="Symbol" w:hAnsi="Symbol" w:hint="default"/>
      </w:rPr>
    </w:lvl>
    <w:lvl w:ilvl="7" w:tplc="04060003" w:tentative="1">
      <w:start w:val="1"/>
      <w:numFmt w:val="bullet"/>
      <w:lvlText w:val="o"/>
      <w:lvlJc w:val="left"/>
      <w:pPr>
        <w:ind w:left="5826" w:hanging="360"/>
      </w:pPr>
      <w:rPr>
        <w:rFonts w:ascii="Courier New" w:hAnsi="Courier New" w:cs="Courier New" w:hint="default"/>
      </w:rPr>
    </w:lvl>
    <w:lvl w:ilvl="8" w:tplc="04060005" w:tentative="1">
      <w:start w:val="1"/>
      <w:numFmt w:val="bullet"/>
      <w:lvlText w:val=""/>
      <w:lvlJc w:val="left"/>
      <w:pPr>
        <w:ind w:left="6546" w:hanging="360"/>
      </w:pPr>
      <w:rPr>
        <w:rFonts w:ascii="Wingdings" w:hAnsi="Wingdings" w:hint="default"/>
      </w:rPr>
    </w:lvl>
  </w:abstractNum>
  <w:abstractNum w:abstractNumId="17" w15:restartNumberingAfterBreak="0">
    <w:nsid w:val="7D770F3F"/>
    <w:multiLevelType w:val="hybridMultilevel"/>
    <w:tmpl w:val="A28092E8"/>
    <w:lvl w:ilvl="0" w:tplc="5448DC4A">
      <w:start w:val="6"/>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3695332">
    <w:abstractNumId w:val="1"/>
  </w:num>
  <w:num w:numId="2" w16cid:durableId="739522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337197">
    <w:abstractNumId w:val="3"/>
  </w:num>
  <w:num w:numId="4" w16cid:durableId="1704556459">
    <w:abstractNumId w:val="0"/>
  </w:num>
  <w:num w:numId="5" w16cid:durableId="541016697">
    <w:abstractNumId w:val="16"/>
  </w:num>
  <w:num w:numId="6" w16cid:durableId="796410883">
    <w:abstractNumId w:val="15"/>
  </w:num>
  <w:num w:numId="7" w16cid:durableId="975917469">
    <w:abstractNumId w:val="11"/>
  </w:num>
  <w:num w:numId="8" w16cid:durableId="1771388169">
    <w:abstractNumId w:val="10"/>
  </w:num>
  <w:num w:numId="9" w16cid:durableId="711854362">
    <w:abstractNumId w:val="8"/>
  </w:num>
  <w:num w:numId="10" w16cid:durableId="198710860">
    <w:abstractNumId w:val="5"/>
  </w:num>
  <w:num w:numId="11" w16cid:durableId="1322655216">
    <w:abstractNumId w:val="2"/>
  </w:num>
  <w:num w:numId="12" w16cid:durableId="1243371780">
    <w:abstractNumId w:val="4"/>
  </w:num>
  <w:num w:numId="13" w16cid:durableId="2045904826">
    <w:abstractNumId w:val="7"/>
  </w:num>
  <w:num w:numId="14" w16cid:durableId="188102760">
    <w:abstractNumId w:val="14"/>
  </w:num>
  <w:num w:numId="15" w16cid:durableId="1840851434">
    <w:abstractNumId w:val="9"/>
  </w:num>
  <w:num w:numId="16" w16cid:durableId="597057167">
    <w:abstractNumId w:val="13"/>
  </w:num>
  <w:num w:numId="17" w16cid:durableId="994190817">
    <w:abstractNumId w:val="6"/>
  </w:num>
  <w:num w:numId="18" w16cid:durableId="1694186278">
    <w:abstractNumId w:val="17"/>
  </w:num>
  <w:num w:numId="19" w16cid:durableId="1938246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Rapport stående.dotm"/>
    <w:docVar w:name="DocumentCreated" w:val="DocumentCreated"/>
    <w:docVar w:name="DocumentCreatedOK" w:val="DocumentCreatedOK"/>
    <w:docVar w:name="DocumentInitialized" w:val="OK"/>
    <w:docVar w:name="Encrypted_IntegrationType" w:val="kIz36vQw+PAvltDzmtCWmw=="/>
    <w:docVar w:name="SaveInTemplateCenterEnabled" w:val="False"/>
  </w:docVars>
  <w:rsids>
    <w:rsidRoot w:val="00B075AA"/>
    <w:rsid w:val="00022F3E"/>
    <w:rsid w:val="00026269"/>
    <w:rsid w:val="000331E6"/>
    <w:rsid w:val="00034418"/>
    <w:rsid w:val="00041A88"/>
    <w:rsid w:val="000455CC"/>
    <w:rsid w:val="00047CD8"/>
    <w:rsid w:val="0005321D"/>
    <w:rsid w:val="00053717"/>
    <w:rsid w:val="000615EA"/>
    <w:rsid w:val="00065552"/>
    <w:rsid w:val="00071907"/>
    <w:rsid w:val="00074A75"/>
    <w:rsid w:val="0008286B"/>
    <w:rsid w:val="00083B83"/>
    <w:rsid w:val="00091062"/>
    <w:rsid w:val="000E2C76"/>
    <w:rsid w:val="000F68F0"/>
    <w:rsid w:val="00101943"/>
    <w:rsid w:val="00124755"/>
    <w:rsid w:val="00125C72"/>
    <w:rsid w:val="00135D55"/>
    <w:rsid w:val="00137764"/>
    <w:rsid w:val="001416BC"/>
    <w:rsid w:val="0014345E"/>
    <w:rsid w:val="00146175"/>
    <w:rsid w:val="00150E15"/>
    <w:rsid w:val="001608A6"/>
    <w:rsid w:val="001664C6"/>
    <w:rsid w:val="00175928"/>
    <w:rsid w:val="00183301"/>
    <w:rsid w:val="001867B1"/>
    <w:rsid w:val="00195076"/>
    <w:rsid w:val="001F7737"/>
    <w:rsid w:val="00203C7B"/>
    <w:rsid w:val="00212957"/>
    <w:rsid w:val="002136FB"/>
    <w:rsid w:val="00217BF3"/>
    <w:rsid w:val="00231D9B"/>
    <w:rsid w:val="00253F08"/>
    <w:rsid w:val="00254DA1"/>
    <w:rsid w:val="00263DD3"/>
    <w:rsid w:val="002642BF"/>
    <w:rsid w:val="00270363"/>
    <w:rsid w:val="00281FCF"/>
    <w:rsid w:val="002866FE"/>
    <w:rsid w:val="00296579"/>
    <w:rsid w:val="002B029E"/>
    <w:rsid w:val="002C0035"/>
    <w:rsid w:val="002C35BA"/>
    <w:rsid w:val="002C6F96"/>
    <w:rsid w:val="002F4970"/>
    <w:rsid w:val="00300EB6"/>
    <w:rsid w:val="00316BF6"/>
    <w:rsid w:val="00345107"/>
    <w:rsid w:val="0034531A"/>
    <w:rsid w:val="00352DB3"/>
    <w:rsid w:val="00353607"/>
    <w:rsid w:val="00357C62"/>
    <w:rsid w:val="0036284D"/>
    <w:rsid w:val="0036442E"/>
    <w:rsid w:val="00366A16"/>
    <w:rsid w:val="00380B51"/>
    <w:rsid w:val="003841C4"/>
    <w:rsid w:val="00393B84"/>
    <w:rsid w:val="00397DFA"/>
    <w:rsid w:val="003A0ADC"/>
    <w:rsid w:val="003A3FEA"/>
    <w:rsid w:val="003A7E21"/>
    <w:rsid w:val="003B0CB7"/>
    <w:rsid w:val="003B11A2"/>
    <w:rsid w:val="003D35A5"/>
    <w:rsid w:val="003D51CC"/>
    <w:rsid w:val="003D5570"/>
    <w:rsid w:val="003E2841"/>
    <w:rsid w:val="003E5B42"/>
    <w:rsid w:val="00410A2B"/>
    <w:rsid w:val="004270CE"/>
    <w:rsid w:val="0043162B"/>
    <w:rsid w:val="00445147"/>
    <w:rsid w:val="00460F24"/>
    <w:rsid w:val="00460F81"/>
    <w:rsid w:val="00487082"/>
    <w:rsid w:val="00490720"/>
    <w:rsid w:val="004B5339"/>
    <w:rsid w:val="004B5466"/>
    <w:rsid w:val="004E0576"/>
    <w:rsid w:val="004E72B3"/>
    <w:rsid w:val="005163BC"/>
    <w:rsid w:val="00525401"/>
    <w:rsid w:val="00542384"/>
    <w:rsid w:val="00545E0A"/>
    <w:rsid w:val="00561C58"/>
    <w:rsid w:val="0056364B"/>
    <w:rsid w:val="00564C6E"/>
    <w:rsid w:val="005712E5"/>
    <w:rsid w:val="005821AF"/>
    <w:rsid w:val="005A1400"/>
    <w:rsid w:val="005B20C1"/>
    <w:rsid w:val="005C101E"/>
    <w:rsid w:val="005E3B02"/>
    <w:rsid w:val="00606577"/>
    <w:rsid w:val="006222A4"/>
    <w:rsid w:val="00630209"/>
    <w:rsid w:val="006331B5"/>
    <w:rsid w:val="006333C9"/>
    <w:rsid w:val="00650334"/>
    <w:rsid w:val="0065254A"/>
    <w:rsid w:val="00655A7D"/>
    <w:rsid w:val="006611A1"/>
    <w:rsid w:val="00666BA2"/>
    <w:rsid w:val="00670F10"/>
    <w:rsid w:val="00676636"/>
    <w:rsid w:val="00687E46"/>
    <w:rsid w:val="006C122F"/>
    <w:rsid w:val="006C14BA"/>
    <w:rsid w:val="00713BDF"/>
    <w:rsid w:val="0072181E"/>
    <w:rsid w:val="00741A24"/>
    <w:rsid w:val="00742076"/>
    <w:rsid w:val="00746D0B"/>
    <w:rsid w:val="00760FBB"/>
    <w:rsid w:val="00765341"/>
    <w:rsid w:val="00771416"/>
    <w:rsid w:val="00772EE7"/>
    <w:rsid w:val="007740C2"/>
    <w:rsid w:val="00796A68"/>
    <w:rsid w:val="007977E8"/>
    <w:rsid w:val="007A0236"/>
    <w:rsid w:val="007A4B81"/>
    <w:rsid w:val="007A5DAF"/>
    <w:rsid w:val="007A606F"/>
    <w:rsid w:val="007C1964"/>
    <w:rsid w:val="007E7974"/>
    <w:rsid w:val="007F3DF9"/>
    <w:rsid w:val="00817836"/>
    <w:rsid w:val="00836A45"/>
    <w:rsid w:val="00836D39"/>
    <w:rsid w:val="00841134"/>
    <w:rsid w:val="00855BFE"/>
    <w:rsid w:val="00855E65"/>
    <w:rsid w:val="008B0965"/>
    <w:rsid w:val="008C42B4"/>
    <w:rsid w:val="008E6D3D"/>
    <w:rsid w:val="008E6F21"/>
    <w:rsid w:val="008F361E"/>
    <w:rsid w:val="00900519"/>
    <w:rsid w:val="009439BB"/>
    <w:rsid w:val="009553D4"/>
    <w:rsid w:val="009649A5"/>
    <w:rsid w:val="00981775"/>
    <w:rsid w:val="00982F43"/>
    <w:rsid w:val="00990B8F"/>
    <w:rsid w:val="009A4353"/>
    <w:rsid w:val="009B1327"/>
    <w:rsid w:val="009B700A"/>
    <w:rsid w:val="009B777A"/>
    <w:rsid w:val="009C3080"/>
    <w:rsid w:val="009C4AF3"/>
    <w:rsid w:val="009C6077"/>
    <w:rsid w:val="009C6909"/>
    <w:rsid w:val="009E3D43"/>
    <w:rsid w:val="00A00D41"/>
    <w:rsid w:val="00A03672"/>
    <w:rsid w:val="00A15A05"/>
    <w:rsid w:val="00A15EFF"/>
    <w:rsid w:val="00A30803"/>
    <w:rsid w:val="00A55B30"/>
    <w:rsid w:val="00A943A1"/>
    <w:rsid w:val="00A952EA"/>
    <w:rsid w:val="00A96D88"/>
    <w:rsid w:val="00AA1375"/>
    <w:rsid w:val="00AA2860"/>
    <w:rsid w:val="00AB41F7"/>
    <w:rsid w:val="00AD098E"/>
    <w:rsid w:val="00AE1681"/>
    <w:rsid w:val="00B024E4"/>
    <w:rsid w:val="00B049C5"/>
    <w:rsid w:val="00B0651A"/>
    <w:rsid w:val="00B075AA"/>
    <w:rsid w:val="00B10CCA"/>
    <w:rsid w:val="00B14778"/>
    <w:rsid w:val="00B24605"/>
    <w:rsid w:val="00B24DEC"/>
    <w:rsid w:val="00B3133D"/>
    <w:rsid w:val="00B3754D"/>
    <w:rsid w:val="00B428E9"/>
    <w:rsid w:val="00B750C4"/>
    <w:rsid w:val="00B93BBA"/>
    <w:rsid w:val="00BB2E0F"/>
    <w:rsid w:val="00BB7555"/>
    <w:rsid w:val="00BD2981"/>
    <w:rsid w:val="00BE0FE6"/>
    <w:rsid w:val="00BE2EC8"/>
    <w:rsid w:val="00BF4CD9"/>
    <w:rsid w:val="00C004D1"/>
    <w:rsid w:val="00C01D48"/>
    <w:rsid w:val="00C2235D"/>
    <w:rsid w:val="00C37392"/>
    <w:rsid w:val="00C53C3B"/>
    <w:rsid w:val="00C5702E"/>
    <w:rsid w:val="00C65181"/>
    <w:rsid w:val="00C663E6"/>
    <w:rsid w:val="00C7100A"/>
    <w:rsid w:val="00C82A64"/>
    <w:rsid w:val="00C91559"/>
    <w:rsid w:val="00C95C53"/>
    <w:rsid w:val="00CA627F"/>
    <w:rsid w:val="00CA68FC"/>
    <w:rsid w:val="00CC0344"/>
    <w:rsid w:val="00CD1019"/>
    <w:rsid w:val="00CE7572"/>
    <w:rsid w:val="00CF26F2"/>
    <w:rsid w:val="00D114D2"/>
    <w:rsid w:val="00D22956"/>
    <w:rsid w:val="00D25309"/>
    <w:rsid w:val="00D3593B"/>
    <w:rsid w:val="00D67051"/>
    <w:rsid w:val="00D87939"/>
    <w:rsid w:val="00D93E8C"/>
    <w:rsid w:val="00DA2945"/>
    <w:rsid w:val="00DD210B"/>
    <w:rsid w:val="00DD258A"/>
    <w:rsid w:val="00DD395E"/>
    <w:rsid w:val="00DD6FF4"/>
    <w:rsid w:val="00DE4435"/>
    <w:rsid w:val="00DE648D"/>
    <w:rsid w:val="00DF11F4"/>
    <w:rsid w:val="00DF4486"/>
    <w:rsid w:val="00E04C53"/>
    <w:rsid w:val="00E14E3E"/>
    <w:rsid w:val="00E15238"/>
    <w:rsid w:val="00E20367"/>
    <w:rsid w:val="00E22F78"/>
    <w:rsid w:val="00E25F00"/>
    <w:rsid w:val="00E31438"/>
    <w:rsid w:val="00E36E35"/>
    <w:rsid w:val="00E6010E"/>
    <w:rsid w:val="00E60300"/>
    <w:rsid w:val="00E6519B"/>
    <w:rsid w:val="00E83EFE"/>
    <w:rsid w:val="00E96189"/>
    <w:rsid w:val="00E97B31"/>
    <w:rsid w:val="00EB4B81"/>
    <w:rsid w:val="00ED1E42"/>
    <w:rsid w:val="00EF083C"/>
    <w:rsid w:val="00F00BE0"/>
    <w:rsid w:val="00F06D3F"/>
    <w:rsid w:val="00F1443E"/>
    <w:rsid w:val="00F160BC"/>
    <w:rsid w:val="00F2100E"/>
    <w:rsid w:val="00F21CB0"/>
    <w:rsid w:val="00F21E2F"/>
    <w:rsid w:val="00F23B4F"/>
    <w:rsid w:val="00F33676"/>
    <w:rsid w:val="00F47E0E"/>
    <w:rsid w:val="00F706DD"/>
    <w:rsid w:val="00F9135E"/>
    <w:rsid w:val="00FA1BE3"/>
    <w:rsid w:val="00FA24FC"/>
    <w:rsid w:val="00FD2861"/>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9B9CA4C"/>
  <w15:docId w15:val="{87047AB7-2E7E-4DAF-8CDF-93E94AC8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6611A1"/>
    <w:pPr>
      <w:keepNext/>
      <w:keepLines/>
      <w:numPr>
        <w:numId w:val="1"/>
      </w:numPr>
      <w:spacing w:after="220"/>
      <w:ind w:left="1134" w:hanging="1134"/>
      <w:outlineLvl w:val="0"/>
    </w:pPr>
    <w:rPr>
      <w:rFonts w:ascii="Verdana" w:eastAsiaTheme="majorEastAsia" w:hAnsi="Verdana" w:cstheme="majorBidi"/>
      <w:b/>
      <w:bCs/>
      <w:sz w:val="32"/>
      <w:szCs w:val="28"/>
    </w:rPr>
  </w:style>
  <w:style w:type="paragraph" w:styleId="Overskrift2">
    <w:name w:val="heading 2"/>
    <w:basedOn w:val="Normal"/>
    <w:next w:val="Normal"/>
    <w:link w:val="Overskrift2Tegn"/>
    <w:uiPriority w:val="9"/>
    <w:unhideWhenUsed/>
    <w:qFormat/>
    <w:rsid w:val="006611A1"/>
    <w:pPr>
      <w:autoSpaceDE w:val="0"/>
      <w:autoSpaceDN w:val="0"/>
      <w:adjustRightInd w:val="0"/>
      <w:spacing w:line="240" w:lineRule="auto"/>
      <w:outlineLvl w:val="1"/>
    </w:pPr>
    <w:rPr>
      <w:rFonts w:ascii="Verdana" w:hAnsi="Verdana" w:cs="Verdana"/>
      <w:b/>
      <w:bCs/>
      <w:color w:val="000000"/>
      <w:sz w:val="24"/>
      <w:szCs w:val="29"/>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6611A1"/>
    <w:rPr>
      <w:rFonts w:ascii="Verdana" w:eastAsiaTheme="majorEastAsia" w:hAnsi="Verdana" w:cstheme="majorBidi"/>
      <w:b/>
      <w:bCs/>
      <w:sz w:val="32"/>
      <w:szCs w:val="28"/>
    </w:rPr>
  </w:style>
  <w:style w:type="character" w:customStyle="1" w:styleId="Overskrift2Tegn">
    <w:name w:val="Overskrift 2 Tegn"/>
    <w:basedOn w:val="Standardskrifttypeiafsnit"/>
    <w:link w:val="Overskrift2"/>
    <w:uiPriority w:val="9"/>
    <w:rsid w:val="006611A1"/>
    <w:rPr>
      <w:rFonts w:ascii="Verdana" w:hAnsi="Verdana" w:cs="Verdana"/>
      <w:b/>
      <w:bCs/>
      <w:color w:val="000000"/>
      <w:sz w:val="24"/>
      <w:szCs w:val="29"/>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uiPriority w:val="99"/>
    <w:unhideWhenUsed/>
    <w:rsid w:val="00083B83"/>
    <w:rPr>
      <w:rFonts w:eastAsia="Times New Roman" w:cs="Times New Roman"/>
      <w:szCs w:val="20"/>
      <w:u w:val="single"/>
      <w:lang w:eastAsia="da-DK"/>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customStyle="1" w:styleId="Normaloverskrift">
    <w:name w:val="Normal overskrift"/>
    <w:basedOn w:val="Normal"/>
    <w:link w:val="NormaloverskriftTegn"/>
    <w:qFormat/>
    <w:rsid w:val="00F23B4F"/>
    <w:pPr>
      <w:keepNext/>
    </w:pPr>
    <w:rPr>
      <w:rFonts w:eastAsia="Times New Roman" w:cs="Times New Roman"/>
      <w:b/>
      <w:szCs w:val="20"/>
      <w:lang w:eastAsia="da-DK"/>
    </w:rPr>
  </w:style>
  <w:style w:type="character" w:customStyle="1" w:styleId="NormaloverskriftTegn">
    <w:name w:val="Normal overskrift Tegn"/>
    <w:basedOn w:val="Standardskrifttypeiafsnit"/>
    <w:link w:val="Normaloverskrift"/>
    <w:rsid w:val="00F23B4F"/>
    <w:rPr>
      <w:rFonts w:ascii="Arial" w:eastAsia="Times New Roman" w:hAnsi="Arial" w:cs="Times New Roman"/>
      <w:b/>
      <w:szCs w:val="20"/>
      <w:lang w:eastAsia="da-DK"/>
    </w:rPr>
  </w:style>
  <w:style w:type="paragraph" w:styleId="Listeafsnit">
    <w:name w:val="List Paragraph"/>
    <w:basedOn w:val="Normal"/>
    <w:uiPriority w:val="34"/>
    <w:rsid w:val="00DE4435"/>
    <w:pPr>
      <w:ind w:left="720"/>
      <w:contextualSpacing/>
    </w:pPr>
  </w:style>
  <w:style w:type="paragraph" w:customStyle="1" w:styleId="Understregetoverskrift">
    <w:name w:val="Understreget overskrift"/>
    <w:basedOn w:val="Normaloverskrift"/>
    <w:link w:val="UnderstregetoverskriftTegn"/>
    <w:qFormat/>
    <w:rsid w:val="00F23B4F"/>
    <w:rPr>
      <w:b w:val="0"/>
      <w:u w:val="single"/>
    </w:rPr>
  </w:style>
  <w:style w:type="character" w:customStyle="1" w:styleId="UnderstregetoverskriftTegn">
    <w:name w:val="Understreget overskrift Tegn"/>
    <w:basedOn w:val="NormaloverskriftTegn"/>
    <w:link w:val="Understregetoverskrift"/>
    <w:rsid w:val="00F23B4F"/>
    <w:rPr>
      <w:rFonts w:ascii="Arial" w:eastAsia="Times New Roman" w:hAnsi="Arial" w:cs="Times New Roman"/>
      <w:b w:val="0"/>
      <w:szCs w:val="20"/>
      <w:u w:val="single"/>
      <w:lang w:eastAsia="da-DK"/>
    </w:rPr>
  </w:style>
  <w:style w:type="paragraph" w:styleId="Overskrift">
    <w:name w:val="TOC Heading"/>
    <w:basedOn w:val="Overskrift1"/>
    <w:next w:val="Normal"/>
    <w:uiPriority w:val="39"/>
    <w:unhideWhenUsed/>
    <w:qFormat/>
    <w:rsid w:val="00A15A05"/>
    <w:pPr>
      <w:numPr>
        <w:numId w:val="0"/>
      </w:numPr>
      <w:spacing w:before="240" w:after="0" w:line="259" w:lineRule="auto"/>
      <w:outlineLvl w:val="9"/>
    </w:pPr>
    <w:rPr>
      <w:rFonts w:asciiTheme="majorHAnsi" w:hAnsiTheme="majorHAnsi"/>
      <w:b w:val="0"/>
      <w:bCs w:val="0"/>
      <w:color w:val="365F91" w:themeColor="accent1" w:themeShade="BF"/>
      <w:szCs w:val="32"/>
      <w:lang w:eastAsia="da-DK"/>
    </w:rPr>
  </w:style>
  <w:style w:type="paragraph" w:styleId="Kommentartekst">
    <w:name w:val="annotation text"/>
    <w:basedOn w:val="Normal"/>
    <w:link w:val="KommentartekstTegn"/>
    <w:uiPriority w:val="99"/>
    <w:unhideWhenUsed/>
    <w:rsid w:val="00B049C5"/>
    <w:pPr>
      <w:spacing w:line="240" w:lineRule="auto"/>
    </w:pPr>
    <w:rPr>
      <w:sz w:val="20"/>
      <w:szCs w:val="20"/>
    </w:rPr>
  </w:style>
  <w:style w:type="character" w:customStyle="1" w:styleId="KommentartekstTegn">
    <w:name w:val="Kommentartekst Tegn"/>
    <w:basedOn w:val="Standardskrifttypeiafsnit"/>
    <w:link w:val="Kommentartekst"/>
    <w:uiPriority w:val="99"/>
    <w:rsid w:val="00B049C5"/>
    <w:rPr>
      <w:rFonts w:ascii="Arial" w:hAnsi="Arial"/>
      <w:sz w:val="20"/>
      <w:szCs w:val="20"/>
    </w:rPr>
  </w:style>
  <w:style w:type="paragraph" w:styleId="Korrektur">
    <w:name w:val="Revision"/>
    <w:hidden/>
    <w:uiPriority w:val="99"/>
    <w:semiHidden/>
    <w:rsid w:val="00C91559"/>
    <w:pPr>
      <w:spacing w:after="0" w:line="240" w:lineRule="auto"/>
    </w:pPr>
    <w:rPr>
      <w:rFonts w:ascii="Arial" w:hAnsi="Arial"/>
    </w:rPr>
  </w:style>
  <w:style w:type="character" w:styleId="Kommentarhenvisning">
    <w:name w:val="annotation reference"/>
    <w:basedOn w:val="Standardskrifttypeiafsnit"/>
    <w:uiPriority w:val="99"/>
    <w:semiHidden/>
    <w:unhideWhenUsed/>
    <w:rsid w:val="00713BDF"/>
    <w:rPr>
      <w:sz w:val="16"/>
      <w:szCs w:val="16"/>
    </w:rPr>
  </w:style>
  <w:style w:type="paragraph" w:styleId="Kommentaremne">
    <w:name w:val="annotation subject"/>
    <w:basedOn w:val="Kommentartekst"/>
    <w:next w:val="Kommentartekst"/>
    <w:link w:val="KommentaremneTegn"/>
    <w:uiPriority w:val="99"/>
    <w:semiHidden/>
    <w:unhideWhenUsed/>
    <w:rsid w:val="00713BDF"/>
    <w:rPr>
      <w:b/>
      <w:bCs/>
    </w:rPr>
  </w:style>
  <w:style w:type="character" w:customStyle="1" w:styleId="KommentaremneTegn">
    <w:name w:val="Kommentaremne Tegn"/>
    <w:basedOn w:val="KommentartekstTegn"/>
    <w:link w:val="Kommentaremne"/>
    <w:uiPriority w:val="99"/>
    <w:semiHidden/>
    <w:rsid w:val="00713BDF"/>
    <w:rPr>
      <w:rFonts w:ascii="Arial" w:hAnsi="Arial"/>
      <w:b/>
      <w:bCs/>
      <w:sz w:val="20"/>
      <w:szCs w:val="20"/>
    </w:rPr>
  </w:style>
  <w:style w:type="character" w:styleId="Ulstomtale">
    <w:name w:val="Unresolved Mention"/>
    <w:basedOn w:val="Standardskrifttypeiafsnit"/>
    <w:uiPriority w:val="99"/>
    <w:semiHidden/>
    <w:unhideWhenUsed/>
    <w:rsid w:val="0072181E"/>
    <w:rPr>
      <w:color w:val="605E5C"/>
      <w:shd w:val="clear" w:color="auto" w:fill="E1DFDD"/>
    </w:rPr>
  </w:style>
  <w:style w:type="paragraph" w:customStyle="1" w:styleId="Default">
    <w:name w:val="Default"/>
    <w:rsid w:val="00D670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81052">
      <w:bodyDiv w:val="1"/>
      <w:marLeft w:val="0"/>
      <w:marRight w:val="0"/>
      <w:marTop w:val="0"/>
      <w:marBottom w:val="0"/>
      <w:divBdr>
        <w:top w:val="none" w:sz="0" w:space="0" w:color="auto"/>
        <w:left w:val="none" w:sz="0" w:space="0" w:color="auto"/>
        <w:bottom w:val="none" w:sz="0" w:space="0" w:color="auto"/>
        <w:right w:val="none" w:sz="0" w:space="0" w:color="auto"/>
      </w:divBdr>
    </w:div>
    <w:div w:id="216624307">
      <w:bodyDiv w:val="1"/>
      <w:marLeft w:val="0"/>
      <w:marRight w:val="0"/>
      <w:marTop w:val="0"/>
      <w:marBottom w:val="0"/>
      <w:divBdr>
        <w:top w:val="none" w:sz="0" w:space="0" w:color="auto"/>
        <w:left w:val="none" w:sz="0" w:space="0" w:color="auto"/>
        <w:bottom w:val="none" w:sz="0" w:space="0" w:color="auto"/>
        <w:right w:val="none" w:sz="0" w:space="0" w:color="auto"/>
      </w:divBdr>
    </w:div>
    <w:div w:id="1501195251">
      <w:bodyDiv w:val="1"/>
      <w:marLeft w:val="0"/>
      <w:marRight w:val="0"/>
      <w:marTop w:val="0"/>
      <w:marBottom w:val="0"/>
      <w:divBdr>
        <w:top w:val="none" w:sz="0" w:space="0" w:color="auto"/>
        <w:left w:val="none" w:sz="0" w:space="0" w:color="auto"/>
        <w:bottom w:val="none" w:sz="0" w:space="0" w:color="auto"/>
        <w:right w:val="none" w:sz="0" w:space="0" w:color="auto"/>
      </w:divBdr>
    </w:div>
    <w:div w:id="169098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8EFD5-91A8-49FC-8895-DA461CB0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5071</Words>
  <Characters>34484</Characters>
  <Application>Microsoft Office Word</Application>
  <DocSecurity>0</DocSecurity>
  <Lines>862</Lines>
  <Paragraphs>399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amep</dc:creator>
  <cp:lastModifiedBy>Henrik Schou Sørensen</cp:lastModifiedBy>
  <cp:revision>7</cp:revision>
  <cp:lastPrinted>2018-03-16T14:43:00Z</cp:lastPrinted>
  <dcterms:created xsi:type="dcterms:W3CDTF">2024-09-09T07:12:00Z</dcterms:created>
  <dcterms:modified xsi:type="dcterms:W3CDTF">2025-03-26T09:35:00Z</dcterms:modified>
</cp:coreProperties>
</file>