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1F" w:rsidRDefault="0033211F" w:rsidP="0033211F">
      <w:pPr>
        <w:pStyle w:val="NormalWeb"/>
        <w:autoSpaceDE w:val="0"/>
        <w:autoSpaceDN w:val="0"/>
        <w:textAlignment w:val="top"/>
        <w:rPr>
          <w:rFonts w:cs="Arial"/>
          <w:b/>
          <w:bCs/>
          <w:color w:val="000000"/>
          <w:szCs w:val="20"/>
        </w:rPr>
      </w:pPr>
    </w:p>
    <w:p w:rsidR="0033211F" w:rsidRDefault="0033211F" w:rsidP="0033211F">
      <w:pPr>
        <w:pStyle w:val="NormalWeb"/>
        <w:autoSpaceDE w:val="0"/>
        <w:autoSpaceDN w:val="0"/>
        <w:textAlignment w:val="top"/>
        <w:rPr>
          <w:rFonts w:cs="Arial"/>
          <w:b/>
          <w:bCs/>
          <w:color w:val="000000"/>
          <w:szCs w:val="20"/>
        </w:rPr>
      </w:pPr>
      <w:r>
        <w:rPr>
          <w:rFonts w:cs="Arial"/>
          <w:b/>
          <w:bCs/>
          <w:color w:val="000000"/>
          <w:szCs w:val="20"/>
        </w:rPr>
        <w:t>Principper for arbejdsmiljø og sociale forhold</w:t>
      </w:r>
      <w:r>
        <w:rPr>
          <w:rFonts w:cs="Arial"/>
          <w:b/>
          <w:bCs/>
          <w:color w:val="000000"/>
          <w:szCs w:val="20"/>
        </w:rPr>
        <w:t xml:space="preserve"> samt sociale klausuler om uddannelses- og praktikaftaler i relevante udbud </w:t>
      </w:r>
    </w:p>
    <w:p w:rsidR="0033211F" w:rsidRDefault="0033211F" w:rsidP="0033211F">
      <w:pPr>
        <w:pStyle w:val="NormalWeb"/>
        <w:autoSpaceDE w:val="0"/>
        <w:autoSpaceDN w:val="0"/>
        <w:textAlignment w:val="top"/>
        <w:rPr>
          <w:rFonts w:cs="Arial"/>
          <w:color w:val="000000"/>
          <w:szCs w:val="20"/>
        </w:rPr>
      </w:pPr>
    </w:p>
    <w:p w:rsidR="0033211F" w:rsidRDefault="0033211F" w:rsidP="0033211F">
      <w:pPr>
        <w:pStyle w:val="NormalWeb"/>
        <w:autoSpaceDE w:val="0"/>
        <w:autoSpaceDN w:val="0"/>
        <w:textAlignment w:val="top"/>
        <w:rPr>
          <w:rFonts w:cs="Arial"/>
          <w:color w:val="000000"/>
          <w:szCs w:val="20"/>
        </w:rPr>
      </w:pPr>
      <w:r>
        <w:rPr>
          <w:rFonts w:cs="Arial"/>
          <w:b/>
          <w:bCs/>
          <w:color w:val="000000"/>
          <w:szCs w:val="20"/>
        </w:rPr>
        <w:t xml:space="preserve">Formål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Vordingborg Kommune ønsker via </w:t>
      </w:r>
      <w:bookmarkStart w:id="0" w:name="_GoBack"/>
      <w:bookmarkEnd w:id="0"/>
      <w:r>
        <w:rPr>
          <w:rFonts w:cs="Arial"/>
          <w:color w:val="000000"/>
          <w:szCs w:val="20"/>
        </w:rPr>
        <w:t>sin indkøbspolitik at sikre, at løn og ansættelse sker på forsvarlige vilkår, og har derfor valgt, at alle kommunens leverandører skal overholde nogle arbejdsmiljømæssige og sociale hensyn. Vordingborg Kommune ønsker samtidig at tage aktiv del i indsatsen for, at unge får en uddannelse og at opfordre kommunens leverandører til at tage ansvar i forbindelse med aktivering af ledige.</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b/>
          <w:bCs/>
          <w:color w:val="000000"/>
          <w:szCs w:val="20"/>
        </w:rPr>
        <w:t xml:space="preserve">Hovedelementer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Overholdelse af internationale konventioner</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 Uddannelsesklausuler ved større udbud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Samarbejde og dialog om aktivering af ledige</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b/>
          <w:bCs/>
          <w:color w:val="000000"/>
          <w:szCs w:val="20"/>
        </w:rPr>
        <w:t>Internationale konventioner</w:t>
      </w:r>
    </w:p>
    <w:p w:rsidR="0033211F" w:rsidRPr="0033211F" w:rsidRDefault="0033211F" w:rsidP="0033211F">
      <w:pPr>
        <w:pStyle w:val="NormalWeb"/>
        <w:autoSpaceDE w:val="0"/>
        <w:autoSpaceDN w:val="0"/>
        <w:textAlignment w:val="top"/>
        <w:rPr>
          <w:rFonts w:cs="Arial"/>
          <w:color w:val="000000"/>
          <w:szCs w:val="20"/>
        </w:rPr>
      </w:pPr>
      <w:r>
        <w:rPr>
          <w:rFonts w:cs="Arial"/>
          <w:color w:val="000000"/>
          <w:szCs w:val="20"/>
        </w:rPr>
        <w:t xml:space="preserve">Det betyder, at Vordingborg Kommune bl.a. kræver, at kommunens leverandører og deres eventuelle underleverandører overholder internationale konventioner tiltrådt af Danmark. </w:t>
      </w:r>
      <w:r w:rsidRPr="0033211F">
        <w:rPr>
          <w:rFonts w:cs="Arial"/>
          <w:iCs/>
          <w:color w:val="000000"/>
          <w:szCs w:val="20"/>
        </w:rPr>
        <w:t>Det pålægges hovedentreprenøren, der er kontraktlig forpligtet i forhold til kommunen, at have kædeansvar i forhold til alle underentreprenører som de måtte ansætte til at udføre underliggende arbejde. Hvis der opstår problemer med arbejdet, løn, feriepenge, overenskomst er det hovedentreprenøren der bærer det økonomiske ansvar</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b/>
          <w:bCs/>
          <w:i/>
          <w:iCs/>
          <w:color w:val="000000"/>
          <w:szCs w:val="20"/>
        </w:rPr>
        <w:t xml:space="preserve">ILO konvention nr. 94 </w:t>
      </w:r>
      <w:r>
        <w:rPr>
          <w:rFonts w:cs="Arial"/>
          <w:i/>
          <w:iCs/>
          <w:color w:val="000000"/>
          <w:szCs w:val="20"/>
        </w:rPr>
        <w:t>(løn og ansættelsesvilkår)</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Ved udbud af bygge-/anlægsopgaver og tjenesteydelser er der et særligt fokus på ILO konvention nr. 94 omkring løn og ansættelsesvilkår for medarbejderne hos leverandøren og eventuelle underleverandører af de udbudte opgaver/ydelser. </w:t>
      </w:r>
    </w:p>
    <w:p w:rsidR="0033211F" w:rsidRDefault="0033211F" w:rsidP="0033211F">
      <w:pPr>
        <w:pStyle w:val="NormalWeb"/>
        <w:autoSpaceDE w:val="0"/>
        <w:autoSpaceDN w:val="0"/>
        <w:textAlignment w:val="top"/>
        <w:rPr>
          <w:rFonts w:cs="Arial"/>
          <w:color w:val="000000"/>
          <w:szCs w:val="20"/>
        </w:rPr>
      </w:pPr>
      <w:r>
        <w:rPr>
          <w:rFonts w:cs="Arial"/>
          <w:i/>
          <w:iCs/>
          <w:color w:val="000000"/>
          <w:szCs w:val="20"/>
        </w:rPr>
        <w:t xml:space="preserve">Hvad siger konventionen?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I overensstemmelse med ILO-konventionen nr. 94 om arbejdsvilkår i offentlige kontrakter skal leverandøren sikre, at de ansatte, som leverandøren og leverandørens underleverandører beskæftiger med henblik på kontraktens opfyldelse, har løn og ansættelsesforhold, der ikke er mindre gunstige end de løn og ansættelsesforhold, som i henhold til kollektiv overenskomst, lovgivning eller administrative forskrifter gælder for arbejdet af samme art inden for vedkommende fag eller industri på den egn, hvor arbejdet udføres. </w:t>
      </w:r>
    </w:p>
    <w:p w:rsidR="0033211F" w:rsidRDefault="0033211F" w:rsidP="0033211F">
      <w:pPr>
        <w:pStyle w:val="NormalWeb"/>
        <w:autoSpaceDE w:val="0"/>
        <w:autoSpaceDN w:val="0"/>
        <w:textAlignment w:val="top"/>
        <w:rPr>
          <w:rFonts w:cs="Arial"/>
          <w:color w:val="000000"/>
          <w:szCs w:val="20"/>
        </w:rPr>
      </w:pPr>
      <w:r>
        <w:rPr>
          <w:rFonts w:cs="Arial"/>
          <w:i/>
          <w:iCs/>
          <w:color w:val="000000"/>
          <w:szCs w:val="20"/>
        </w:rPr>
        <w:t xml:space="preserve">Hvad kan vi gøre?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Vordingborg Kommune kan ikke stille krav om, at der skal være indgået overenskomst, men indgået overenskomst betragtes som opfyldelse af ILO-konventionen. Indgået overenskomst skal altid bekræftes af den aktuelle fagforening. Hvis der ikke er indgået overenskomst, skal leverandøren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Stk. 2. Der skal som reference anvendes en kollektiv overenskomst, der er repræsentativ for, hvad der i øvrigt gælder i Danmark i den pågældende sektor.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Stk. 3. Hovedleverandøren/hovedentreprenøren forpligter sig til at sikre arbejdstagerne beskæftiget i Danmark med opgavens udførelse løn og ansættelsesvilkår som nævnt ovenfor, og er forpligtet til at orientere de ansatte om de gældende arbejdsvilkår. Forpligtelsen omfatter tillige arbejdstagere beskæftiget hos underleverandører/underentreprenører.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Frem vise ansættelseskontrakter og aktuelle lønsedler som dokumentation for, at de ansatte har vilkår, der svarer til overenskomstens mindstekrav. Løn, søn og helligdagsbetaling, feriepenge og pension skal fremgå tydeligt af både kontrakt og lønsedler. </w:t>
      </w:r>
    </w:p>
    <w:p w:rsidR="0033211F" w:rsidRDefault="0033211F" w:rsidP="0033211F">
      <w:pPr>
        <w:pStyle w:val="NormalWeb"/>
        <w:autoSpaceDE w:val="0"/>
        <w:autoSpaceDN w:val="0"/>
        <w:textAlignment w:val="top"/>
        <w:rPr>
          <w:rFonts w:cs="Arial"/>
          <w:color w:val="000000"/>
          <w:szCs w:val="20"/>
        </w:rPr>
      </w:pPr>
      <w:r>
        <w:rPr>
          <w:rFonts w:cs="Arial"/>
          <w:i/>
          <w:iCs/>
          <w:color w:val="000000"/>
          <w:szCs w:val="20"/>
        </w:rPr>
        <w:t>Hvad gør vi? (</w:t>
      </w:r>
      <w:proofErr w:type="gramStart"/>
      <w:r>
        <w:rPr>
          <w:rFonts w:cs="Arial"/>
          <w:i/>
          <w:iCs/>
          <w:color w:val="000000"/>
          <w:szCs w:val="20"/>
        </w:rPr>
        <w:t>håndhævelse</w:t>
      </w:r>
      <w:proofErr w:type="gramEnd"/>
      <w:r>
        <w:rPr>
          <w:rFonts w:cs="Arial"/>
          <w:i/>
          <w:iCs/>
          <w:color w:val="000000"/>
          <w:szCs w:val="20"/>
        </w:rPr>
        <w:t xml:space="preserve">)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Vordingborg Kommune foretager altid stikprøvekontrol af arbejdsforholdene, ligesom Vordingborg Kommune til enhver tid, kan udbede sig dokumentation for, at løn og arbejdsvilkår for leverandøren lever op til ovennævnte krav. Leverandøren skal efter påkrav fremskaffe relevant dokumentation for såvel egen som eventuelle underleverandørers arbejdstageres løn og ansættelsesforhold. Herudover er Vordingborg Kommune berettiget til at bede den enkelte ansatte fremvise dokumentation for ansættelsen og ansættelsesforholdet.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Leverandøren skal på kommunens opfordring dokumentere, at denne er registreret i relevante registre som f.eks. Registeret for Udenlandske Tjenesteydere (RUT) og E-indkomst registeret.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Dokumentationen kan efter omstændighederne give anledning til, at kommunen videregiver dokumentation til andre myndigheder, f.eks. skattemyndigheder, Arbejdstilsynet eller Politiet. </w:t>
      </w:r>
    </w:p>
    <w:p w:rsidR="0033211F" w:rsidRDefault="0033211F" w:rsidP="0033211F">
      <w:pPr>
        <w:pStyle w:val="NormalWeb"/>
        <w:autoSpaceDE w:val="0"/>
        <w:autoSpaceDN w:val="0"/>
        <w:textAlignment w:val="top"/>
        <w:rPr>
          <w:rFonts w:cs="Arial"/>
          <w:color w:val="000000"/>
          <w:szCs w:val="20"/>
        </w:rPr>
      </w:pPr>
      <w:r>
        <w:rPr>
          <w:rFonts w:cs="Arial"/>
          <w:color w:val="000000"/>
          <w:szCs w:val="20"/>
        </w:rPr>
        <w:lastRenderedPageBreak/>
        <w:t xml:space="preserve">Relevant dokumentation kan for eksempel være lønsedler evt. sammenholdt med arbejdssedler, lønregnskab, opholdstilladelser, ansættelseskontrakt eller ansættelsesbevis. Dokumentation skal være kommunen i hænde senest 7 arbejdsdage efter, påkravet er modtaget. Hvis leverandøren ikke senest 7 dage efter anmodningen har dokumenteret de ovennævnte krav, kan kommunen vælge at tilbageholde alle betalinger, uden entreprenøren har ret til at standse arbejdet, til dokumentation er tilvejebragt, og/eller forholdet er bragt i orden.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Overtrædelse af arbejdsklausulen udgør en væsentlig misligholdelse af aftaleforholdet. Vordingborg Kommune kan, efter afgivelse af ovennævnte påkrav om dokumentation, ophæve kontrakten skriftligt med øjeblikkelig virkning.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Arbejdsklausulen indsættes i relevante udbud, som en del af udbudsmaterialet, og vil altid være et minimumskrav for en tilbudsgiver. Det betyder, at vi ikke må acceptere tilbud fra tilbudsgivere, der ikke accepterer klausulen eller tager forbehold for klausulen.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Nedenstående kontraktbestemmelse indsættes i relevante udbud: </w:t>
      </w:r>
    </w:p>
    <w:p w:rsidR="0033211F" w:rsidRDefault="0033211F" w:rsidP="0033211F">
      <w:pPr>
        <w:pStyle w:val="NormalWeb"/>
        <w:autoSpaceDE w:val="0"/>
        <w:autoSpaceDN w:val="0"/>
        <w:textAlignment w:val="top"/>
        <w:rPr>
          <w:rFonts w:cs="Arial"/>
          <w:color w:val="000000"/>
          <w:szCs w:val="20"/>
        </w:rPr>
      </w:pPr>
      <w:r>
        <w:rPr>
          <w:rFonts w:cs="Arial"/>
          <w:color w:val="000000"/>
          <w:szCs w:val="20"/>
        </w:rPr>
        <w:t>§xx. Vordingborg Kommune ønsker, med henvisning til ILO-konventionen nr. 94 vedrørende løn og ansættelsesforhold, at sikre gode vilkår for medarbejderne hos hovedleverandøren/hovedentreprenør</w:t>
      </w:r>
      <w:r>
        <w:rPr>
          <w:rFonts w:cs="Arial"/>
          <w:color w:val="000000"/>
          <w:szCs w:val="20"/>
        </w:rPr>
        <w:t>en af de udbudte ydelser. Hoved</w:t>
      </w:r>
      <w:r>
        <w:rPr>
          <w:rFonts w:cs="Arial"/>
          <w:color w:val="000000"/>
          <w:szCs w:val="20"/>
        </w:rPr>
        <w:t xml:space="preserve">leverandøren/hovedentreprenøren forpligter sig derfor til at sikre, at de ansatte som denne og eventuelle underleverandører/underentreprenører beskæftiger med henblik på opgavens udførelse, har løn (herunder særlige ydelser), arbejdstid og andre vilkår, der ikke er mindre gunstige end de løn - og ansættelsesvilkår, som i henhold til kollektiv overenskomst, lovgivning eller administrative forskrifter gælder for arbejde af samme art indenfor vedkommende fag eller industri på den egn, hvor arbejdet skal udføres.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Stk. 4. Overholder hovedleverandøren/hovedentreprenøren ikke ovennævnte krav, og medfører dette et berettiget krav på yderligere løn fra arbejdstageren, kan Vordingborg Kommune tilbageholde vederlag til hovedleverandøren/hovedentreprenøren med henblik på at sikre arbejdstagerne de nævnte ansættelsesvilkår.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Stk. 5. Vordingborg Kommune kan til enhver tid udbede sig relevant dokumentation for, at løn og ansættelsesvilkår for arbejdstagerne lever op til denne forpligtelse. Hovedleverandøren/hovedentreprenøren skal, efter skriftligt påkrav, fremskaffe relevant dokumentation fra såvel egne arbejdstagere som eventuelle underleverandørers/underentreprenørers arbejdstagere. Dokumentation skal være Vordingborg Kommune i hænde senest 7 kalender-dage efter påkravets modtagelse. Relevant dokumentation kan for eksempel være lønsedler evt. sammenholdt med arbejdssedler, lønregnskab, opholdstilladelser, ansættelseskontrakt eller ansættelsesbevis.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Stk. 6. Såfremt fyldestgørende dokumentation ikke bliver fremsendt, bliver det betragtet som en væsentlig misligholdelse af kontrakten. Vordingborg Kommune kan efter afgivelse af ovennævnte påkrav om dokumentation ophæve kontrakten skriftligt med øjeblikkelig virkning.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Stk. 7. Leverandøren skal på kommunens opfordring endvidere dokumentere, at denne er registreret i relevante registre som f.eks. Registeret for Udenlandske Tjenesteydere (RUT) og E-indkomst registeret.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Dokumentationen kan efter omstændighederne give anledning til, at kommunen videregiver dokumentation til andre myndigheder, f.eks. skattemyndigheder, Arbejdstilsynet eller Politiet.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Vordingborg Kommune ønsker at understrege, at hvis vi vælger at foretage en stikprøvekontrol eller lignende i en konkret kontrakt i relation til ILO konvention nr. 94, er det ikke udtryk for en generel mistillid til den pågældende leverandør, men derimod en helt naturlig og vigtig opfølgning på et bestemt kontraktkrav.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Vordingborg Kommune kræver, at der på byggepladser er opsat skilt med ansvarlig entreprenør samt eventuelle underleverandører. </w:t>
      </w:r>
    </w:p>
    <w:p w:rsidR="0033211F" w:rsidRDefault="0033211F" w:rsidP="0033211F">
      <w:pPr>
        <w:pStyle w:val="NormalWeb"/>
        <w:autoSpaceDE w:val="0"/>
        <w:autoSpaceDN w:val="0"/>
        <w:textAlignment w:val="top"/>
        <w:rPr>
          <w:rFonts w:cs="Arial"/>
          <w:color w:val="000000"/>
          <w:szCs w:val="20"/>
        </w:rPr>
      </w:pPr>
      <w:r>
        <w:rPr>
          <w:rFonts w:cs="Arial"/>
          <w:b/>
          <w:bCs/>
          <w:i/>
          <w:iCs/>
          <w:color w:val="000000"/>
          <w:szCs w:val="20"/>
        </w:rPr>
        <w:t xml:space="preserve">Øvrige konventioner, </w:t>
      </w:r>
      <w:r>
        <w:rPr>
          <w:rFonts w:cs="Arial"/>
          <w:i/>
          <w:iCs/>
          <w:color w:val="000000"/>
          <w:szCs w:val="20"/>
        </w:rPr>
        <w:t xml:space="preserve">samfundsansvar </w:t>
      </w:r>
      <w:r>
        <w:rPr>
          <w:rFonts w:cs="Arial"/>
          <w:b/>
          <w:bCs/>
          <w:i/>
          <w:iCs/>
          <w:color w:val="000000"/>
          <w:szCs w:val="20"/>
        </w:rPr>
        <w:t xml:space="preserve">mv. </w:t>
      </w:r>
      <w:r>
        <w:rPr>
          <w:rFonts w:cs="Arial"/>
          <w:color w:val="000000"/>
          <w:szCs w:val="20"/>
        </w:rPr>
        <w:t xml:space="preserve">Vordingborg Kommune er bevidste om sit samfundsansvar, sociale ansvar og arbejdsmiljøansvar, (CSR). Vores udbud af varer, tjenesteydelser og bygge/anlæg er derfor omfattet af følgende andre ILO-konventioner: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 Forbud mod tvangsarbejde og afskaffelse af tvangsarbejde, ILO konventionerne nr. 29 og nr. 105.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 Ingen diskrimination i ansættelsen og ligeløn, ILO konventionerne nr. 111 og nr. 100.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 Afskaffelse af de værste former for børnearbejde, ILO konvention nr. 182.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 Organisationsfrihed og ret til kollektive forhandlinger, foreningsfrihed, retten til organisering, beskyttelse af arbejdsrepræsentanter, ILO konventionerne, nr. 87, nr. 98 og nr. 135.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 Retten til et sikkert og sundt arbejdsmiljø, ILO konvention nr. 155.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color w:val="000000"/>
          <w:szCs w:val="20"/>
        </w:rPr>
        <w:lastRenderedPageBreak/>
        <w:t xml:space="preserve">Alle udbud skal derfor følges af henvisning til relevante konventioner. Det tilsvarende gælder for de FN konventioner og Den Europæiske Menneskerettighedskonvention, som Danmark har tiltrådt, der f.eks. sikrer overholdelse af grundlæggende menneskerettigheder. </w:t>
      </w:r>
    </w:p>
    <w:p w:rsidR="0033211F" w:rsidRDefault="0033211F" w:rsidP="0033211F">
      <w:pPr>
        <w:pStyle w:val="NormalWeb"/>
        <w:autoSpaceDE w:val="0"/>
        <w:autoSpaceDN w:val="0"/>
        <w:textAlignment w:val="top"/>
        <w:rPr>
          <w:rFonts w:cs="Arial"/>
          <w:color w:val="000000"/>
          <w:szCs w:val="20"/>
        </w:rPr>
      </w:pPr>
      <w:r>
        <w:rPr>
          <w:rFonts w:cs="Arial"/>
          <w:b/>
          <w:bCs/>
          <w:color w:val="000000"/>
          <w:szCs w:val="20"/>
        </w:rPr>
        <w:t xml:space="preserve">Uddannelsesklausuler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a) Uddannelsesbestemmelser kan indføres i Bygge- og anlægskontrakter og i tjenesteydelses-kontrakter, som har en varighed på mindst 6 måneder og en kontraktværdi på mindst 10 mio. kr. og/eller en lønsum på 4 mio. kr.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b) Leverandøren skal tilstræbe, at 15 % af de stillinger, dog </w:t>
      </w:r>
      <w:r>
        <w:rPr>
          <w:rFonts w:cs="Arial"/>
          <w:i/>
          <w:iCs/>
          <w:color w:val="000000"/>
          <w:szCs w:val="20"/>
        </w:rPr>
        <w:t xml:space="preserve">minimum </w:t>
      </w:r>
      <w:r>
        <w:rPr>
          <w:rFonts w:cs="Arial"/>
          <w:color w:val="000000"/>
          <w:szCs w:val="20"/>
        </w:rPr>
        <w:t xml:space="preserve">10%, der anvendes til opfyldelse af kontrakten, besættes med personer i praktikstillinger, herunder lærlinge.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c) Ved personer i praktikstillinger forstås personer, der påbegynder eller er begyndt på en erhvervsuddannelse (herunder Grunduddannelse for voksne –GVU og Erhvervsgrunduddannelse – EGU) og i den forbindelse skal gennemføre en del af uddannelsen som praktik i en virksomhed.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d) Leverandøren skal på kommunens anmodning dokumentere, at kravet om ansættelse af personer i praktikstillinger er opfyldt.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e) Hvis leverandøren ikke senest 7 dage efter anmodningen har dokumenteret, at det aftalte antal personer er ansat i praktikstillinger, kan kommunen vælge at tilbageholde alle betalinger, uden entreprenøren har ret til at standse arbejdet, til dokumentation er tilvejebragt og/eller forholdet er bragt i orden.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w:t>
      </w:r>
    </w:p>
    <w:p w:rsidR="0033211F" w:rsidRDefault="0033211F" w:rsidP="0033211F">
      <w:pPr>
        <w:pStyle w:val="NormalWeb"/>
        <w:autoSpaceDE w:val="0"/>
        <w:autoSpaceDN w:val="0"/>
        <w:textAlignment w:val="top"/>
        <w:rPr>
          <w:rFonts w:cs="Arial"/>
          <w:color w:val="000000"/>
          <w:szCs w:val="20"/>
        </w:rPr>
      </w:pPr>
      <w:r>
        <w:rPr>
          <w:rFonts w:cs="Arial"/>
          <w:b/>
          <w:bCs/>
          <w:color w:val="000000"/>
          <w:szCs w:val="20"/>
        </w:rPr>
        <w:t xml:space="preserve">Samarbejde og dialog omkring aktivering af ledige </w:t>
      </w:r>
    </w:p>
    <w:p w:rsidR="0033211F" w:rsidRDefault="0033211F" w:rsidP="0033211F">
      <w:pPr>
        <w:pStyle w:val="NormalWeb"/>
        <w:autoSpaceDE w:val="0"/>
        <w:autoSpaceDN w:val="0"/>
        <w:textAlignment w:val="top"/>
        <w:rPr>
          <w:rFonts w:cs="Arial"/>
          <w:color w:val="000000"/>
          <w:szCs w:val="20"/>
        </w:rPr>
      </w:pPr>
      <w:r>
        <w:rPr>
          <w:rFonts w:cs="Arial"/>
          <w:color w:val="000000"/>
          <w:szCs w:val="20"/>
        </w:rPr>
        <w:t xml:space="preserve">Vordingborg kommune ønsker, at kommunens leverandører deltager aktivt i forbindelse med aktivering af ledige. Alle leverandører opfordres derfor til at indgå en partnerskabsaftale med Jobcenter Vordingborg. Partnerskabsaftalen er frivillig og er ikke juridisk bindende. </w:t>
      </w:r>
    </w:p>
    <w:p w:rsidR="0033211F" w:rsidRDefault="0033211F" w:rsidP="0033211F">
      <w:pPr>
        <w:pStyle w:val="NormalWeb"/>
        <w:textAlignment w:val="top"/>
        <w:rPr>
          <w:rFonts w:cs="Arial"/>
          <w:color w:val="000000"/>
          <w:szCs w:val="20"/>
        </w:rPr>
      </w:pPr>
      <w:r>
        <w:rPr>
          <w:rFonts w:cs="Arial"/>
          <w:color w:val="000000"/>
          <w:szCs w:val="20"/>
        </w:rPr>
        <w:t xml:space="preserve">At indgå en partnerskabsaftale er frivilligt, men der stilles krav om, at de primære leverandører til bygge- og anlægsprojekter samt tjenesteydelseskontrakter over 10 mio. kr. deltager i et orienteringsmøde med Jobcenter Vordingborg med henblik på at afklare muligheden for, at virksomheden kan og vil indgå en </w:t>
      </w:r>
      <w:proofErr w:type="gramStart"/>
      <w:r>
        <w:rPr>
          <w:rFonts w:cs="Arial"/>
          <w:color w:val="000000"/>
          <w:szCs w:val="20"/>
        </w:rPr>
        <w:t>partnerskabsaftale.”</w:t>
      </w:r>
      <w:proofErr w:type="gramEnd"/>
    </w:p>
    <w:p w:rsidR="00C7129D" w:rsidRDefault="00C7129D"/>
    <w:sectPr w:rsidR="00C7129D">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1F" w:rsidRDefault="0033211F" w:rsidP="0033211F">
      <w:r>
        <w:separator/>
      </w:r>
    </w:p>
  </w:endnote>
  <w:endnote w:type="continuationSeparator" w:id="0">
    <w:p w:rsidR="0033211F" w:rsidRDefault="0033211F" w:rsidP="0033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1F" w:rsidRDefault="0033211F" w:rsidP="0033211F">
      <w:r>
        <w:separator/>
      </w:r>
    </w:p>
  </w:footnote>
  <w:footnote w:type="continuationSeparator" w:id="0">
    <w:p w:rsidR="0033211F" w:rsidRDefault="0033211F" w:rsidP="0033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1F" w:rsidRDefault="0033211F">
    <w:pPr>
      <w:pStyle w:val="Sidehoved"/>
    </w:pPr>
    <w:r>
      <w:rPr>
        <w:noProof/>
      </w:rPr>
      <w:drawing>
        <wp:anchor distT="0" distB="0" distL="114300" distR="114300" simplePos="0" relativeHeight="251659264" behindDoc="1" locked="0" layoutInCell="1" allowOverlap="1" wp14:anchorId="6558BB34" wp14:editId="1812965B">
          <wp:simplePos x="0" y="0"/>
          <wp:positionH relativeFrom="page">
            <wp:posOffset>5406390</wp:posOffset>
          </wp:positionH>
          <wp:positionV relativeFrom="page">
            <wp:posOffset>248920</wp:posOffset>
          </wp:positionV>
          <wp:extent cx="1871980" cy="557530"/>
          <wp:effectExtent l="0" t="0" r="0" b="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575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00FBFB61-8F3E-4161-A362-1A31CB77A6DB}"/>
  </w:docVars>
  <w:rsids>
    <w:rsidRoot w:val="0033211F"/>
    <w:rsid w:val="00082E02"/>
    <w:rsid w:val="000D0827"/>
    <w:rsid w:val="000F52E8"/>
    <w:rsid w:val="00126C67"/>
    <w:rsid w:val="0013307C"/>
    <w:rsid w:val="00151DEF"/>
    <w:rsid w:val="00172DB1"/>
    <w:rsid w:val="001925D0"/>
    <w:rsid w:val="001B00B4"/>
    <w:rsid w:val="001B16E5"/>
    <w:rsid w:val="00244E25"/>
    <w:rsid w:val="002747F1"/>
    <w:rsid w:val="0027786C"/>
    <w:rsid w:val="002A3C95"/>
    <w:rsid w:val="002A5691"/>
    <w:rsid w:val="002A6C31"/>
    <w:rsid w:val="002B43C2"/>
    <w:rsid w:val="002E1771"/>
    <w:rsid w:val="003226BA"/>
    <w:rsid w:val="0033211F"/>
    <w:rsid w:val="003327AE"/>
    <w:rsid w:val="00351F5E"/>
    <w:rsid w:val="00370E03"/>
    <w:rsid w:val="003A142D"/>
    <w:rsid w:val="00422543"/>
    <w:rsid w:val="00423E0E"/>
    <w:rsid w:val="00457400"/>
    <w:rsid w:val="004C2AC2"/>
    <w:rsid w:val="004D2E62"/>
    <w:rsid w:val="004D36DC"/>
    <w:rsid w:val="004E5B56"/>
    <w:rsid w:val="004E63D2"/>
    <w:rsid w:val="0051487F"/>
    <w:rsid w:val="005862F2"/>
    <w:rsid w:val="005A4B23"/>
    <w:rsid w:val="005A4BCA"/>
    <w:rsid w:val="005A6FE0"/>
    <w:rsid w:val="005B5D31"/>
    <w:rsid w:val="005D3208"/>
    <w:rsid w:val="005E7FA4"/>
    <w:rsid w:val="005F6A4E"/>
    <w:rsid w:val="00647EC8"/>
    <w:rsid w:val="00681AA6"/>
    <w:rsid w:val="0068786B"/>
    <w:rsid w:val="006D307F"/>
    <w:rsid w:val="006D5506"/>
    <w:rsid w:val="00722168"/>
    <w:rsid w:val="007228E2"/>
    <w:rsid w:val="00740EAB"/>
    <w:rsid w:val="00753A8C"/>
    <w:rsid w:val="00757ED3"/>
    <w:rsid w:val="007604FA"/>
    <w:rsid w:val="00762977"/>
    <w:rsid w:val="00797D23"/>
    <w:rsid w:val="007D0227"/>
    <w:rsid w:val="007E196B"/>
    <w:rsid w:val="007F6CF0"/>
    <w:rsid w:val="0081707D"/>
    <w:rsid w:val="00832902"/>
    <w:rsid w:val="00846076"/>
    <w:rsid w:val="00846A11"/>
    <w:rsid w:val="00871C81"/>
    <w:rsid w:val="008815DB"/>
    <w:rsid w:val="009256C8"/>
    <w:rsid w:val="00952F7C"/>
    <w:rsid w:val="00971F37"/>
    <w:rsid w:val="009832A3"/>
    <w:rsid w:val="00984EBE"/>
    <w:rsid w:val="00991B47"/>
    <w:rsid w:val="009C6FA4"/>
    <w:rsid w:val="009C7C0B"/>
    <w:rsid w:val="009D4467"/>
    <w:rsid w:val="009F02E1"/>
    <w:rsid w:val="00A62819"/>
    <w:rsid w:val="00A9087B"/>
    <w:rsid w:val="00AA045E"/>
    <w:rsid w:val="00AA352D"/>
    <w:rsid w:val="00AB5A70"/>
    <w:rsid w:val="00AC4DEB"/>
    <w:rsid w:val="00AE29FB"/>
    <w:rsid w:val="00B13933"/>
    <w:rsid w:val="00B24245"/>
    <w:rsid w:val="00B30758"/>
    <w:rsid w:val="00B4041E"/>
    <w:rsid w:val="00B91471"/>
    <w:rsid w:val="00BA05D8"/>
    <w:rsid w:val="00BA31EE"/>
    <w:rsid w:val="00BC78AF"/>
    <w:rsid w:val="00BD2C5C"/>
    <w:rsid w:val="00C327D2"/>
    <w:rsid w:val="00C55CC7"/>
    <w:rsid w:val="00C56912"/>
    <w:rsid w:val="00C623A3"/>
    <w:rsid w:val="00C63D10"/>
    <w:rsid w:val="00C7129D"/>
    <w:rsid w:val="00CA47AC"/>
    <w:rsid w:val="00CF329B"/>
    <w:rsid w:val="00D154DB"/>
    <w:rsid w:val="00D4158B"/>
    <w:rsid w:val="00D70A1C"/>
    <w:rsid w:val="00D74EEC"/>
    <w:rsid w:val="00D8352F"/>
    <w:rsid w:val="00D8765F"/>
    <w:rsid w:val="00D92433"/>
    <w:rsid w:val="00DE38D4"/>
    <w:rsid w:val="00DF04C1"/>
    <w:rsid w:val="00E00FE9"/>
    <w:rsid w:val="00E01BD2"/>
    <w:rsid w:val="00E12E5B"/>
    <w:rsid w:val="00E342EA"/>
    <w:rsid w:val="00E56E16"/>
    <w:rsid w:val="00E845B5"/>
    <w:rsid w:val="00E97B0D"/>
    <w:rsid w:val="00EA4805"/>
    <w:rsid w:val="00EC05E1"/>
    <w:rsid w:val="00EE7E2A"/>
    <w:rsid w:val="00F046C6"/>
    <w:rsid w:val="00F42F83"/>
    <w:rsid w:val="00F53F1E"/>
    <w:rsid w:val="00F67769"/>
    <w:rsid w:val="00F851F2"/>
    <w:rsid w:val="00F95481"/>
    <w:rsid w:val="00FB6A5F"/>
    <w:rsid w:val="00FD2188"/>
    <w:rsid w:val="00FE4891"/>
    <w:rsid w:val="00FF38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5E0E6-53DE-4C2F-B0B7-0B65D296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qFormat/>
    <w:rsid w:val="0033211F"/>
    <w:rPr>
      <w:rFonts w:ascii="Arial" w:hAnsi="Arial"/>
      <w:sz w:val="20"/>
      <w:szCs w:val="22"/>
      <w:lang w:eastAsia="en-US"/>
    </w:rPr>
  </w:style>
  <w:style w:type="paragraph" w:styleId="Sidehoved">
    <w:name w:val="header"/>
    <w:basedOn w:val="Normal"/>
    <w:link w:val="SidehovedTegn"/>
    <w:rsid w:val="0033211F"/>
    <w:pPr>
      <w:tabs>
        <w:tab w:val="center" w:pos="4819"/>
        <w:tab w:val="right" w:pos="9638"/>
      </w:tabs>
    </w:pPr>
  </w:style>
  <w:style w:type="character" w:customStyle="1" w:styleId="SidehovedTegn">
    <w:name w:val="Sidehoved Tegn"/>
    <w:basedOn w:val="Standardskrifttypeiafsnit"/>
    <w:link w:val="Sidehoved"/>
    <w:rsid w:val="0033211F"/>
    <w:rPr>
      <w:sz w:val="24"/>
      <w:szCs w:val="24"/>
    </w:rPr>
  </w:style>
  <w:style w:type="paragraph" w:styleId="Sidefod">
    <w:name w:val="footer"/>
    <w:basedOn w:val="Normal"/>
    <w:link w:val="SidefodTegn"/>
    <w:rsid w:val="0033211F"/>
    <w:pPr>
      <w:tabs>
        <w:tab w:val="center" w:pos="4819"/>
        <w:tab w:val="right" w:pos="9638"/>
      </w:tabs>
    </w:pPr>
  </w:style>
  <w:style w:type="character" w:customStyle="1" w:styleId="SidefodTegn">
    <w:name w:val="Sidefod Tegn"/>
    <w:basedOn w:val="Standardskrifttypeiafsnit"/>
    <w:link w:val="Sidefod"/>
    <w:rsid w:val="003321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8EF6C864</Template>
  <TotalTime>4</TotalTime>
  <Pages>3</Pages>
  <Words>1383</Words>
  <Characters>9374</Characters>
  <Application>Microsoft Office Word</Application>
  <DocSecurity>0</DocSecurity>
  <Lines>78</Lines>
  <Paragraphs>21</Paragraphs>
  <ScaleCrop>false</ScaleCrop>
  <Company>Vordingborg Kommune</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Snorre Brink-Pedersen</dc:creator>
  <cp:keywords/>
  <dc:description/>
  <cp:lastModifiedBy>Snorre Brink-Pedersen</cp:lastModifiedBy>
  <cp:revision>1</cp:revision>
  <dcterms:created xsi:type="dcterms:W3CDTF">2016-05-25T20:27:00Z</dcterms:created>
  <dcterms:modified xsi:type="dcterms:W3CDTF">2016-05-25T20:33:00Z</dcterms:modified>
</cp:coreProperties>
</file>