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51" w:rsidRPr="003D3251" w:rsidRDefault="003D3251" w:rsidP="003D3251"/>
    <w:tbl>
      <w:tblPr>
        <w:tblStyle w:val="Tabel-Gitter"/>
        <w:tblpPr w:vertAnchor="page" w:horzAnchor="page" w:tblpX="1135" w:tblpY="3402"/>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3D3251" w:rsidRPr="003D3251" w:rsidTr="00FB3FE6">
        <w:trPr>
          <w:trHeight w:val="1984"/>
        </w:trPr>
        <w:tc>
          <w:tcPr>
            <w:tcW w:w="9781" w:type="dxa"/>
            <w:vAlign w:val="bottom"/>
          </w:tcPr>
          <w:p w:rsidR="003D3251" w:rsidRPr="003D3251" w:rsidRDefault="003D3251" w:rsidP="003D3251">
            <w:pPr>
              <w:rPr>
                <w:rFonts w:ascii="Verdana" w:hAnsi="Verdana"/>
                <w:color w:val="FFFFFF" w:themeColor="background1"/>
                <w:sz w:val="32"/>
                <w:szCs w:val="32"/>
              </w:rPr>
            </w:pPr>
          </w:p>
          <w:p w:rsidR="003D3251" w:rsidRPr="003D3251" w:rsidRDefault="003D3251" w:rsidP="003D3251">
            <w:pPr>
              <w:rPr>
                <w:rFonts w:ascii="Verdana" w:hAnsi="Verdan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3251">
              <w:rPr>
                <w:rFonts w:ascii="Verdana" w:hAnsi="Verdan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REGULATIV FOR JORD </w:t>
            </w:r>
          </w:p>
        </w:tc>
        <w:tc>
          <w:tcPr>
            <w:tcW w:w="142" w:type="dxa"/>
          </w:tcPr>
          <w:p w:rsidR="003D3251" w:rsidRPr="003D3251" w:rsidRDefault="003D3251" w:rsidP="003D3251">
            <w:pPr>
              <w:rPr>
                <w:rFonts w:ascii="Verdana" w:hAnsi="Verdana"/>
                <w:color w:val="FFFFFF" w:themeColor="background1"/>
                <w:sz w:val="32"/>
                <w:szCs w:val="32"/>
              </w:rPr>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3D3251" w:rsidRPr="003D3251" w:rsidTr="00FB3FE6">
        <w:trPr>
          <w:cantSplit/>
          <w:trHeight w:val="1134"/>
        </w:trPr>
        <w:tc>
          <w:tcPr>
            <w:tcW w:w="680" w:type="dxa"/>
            <w:textDirection w:val="tbRl"/>
            <w:vAlign w:val="center"/>
          </w:tcPr>
          <w:p w:rsidR="003D3251" w:rsidRPr="003D3251" w:rsidRDefault="003D3251" w:rsidP="003D3251">
            <w:pPr>
              <w:ind w:left="113" w:right="113"/>
              <w:jc w:val="right"/>
            </w:pPr>
          </w:p>
        </w:tc>
      </w:tr>
      <w:tr w:rsidR="003D3251" w:rsidRPr="003D3251" w:rsidTr="00FB3FE6">
        <w:trPr>
          <w:cantSplit/>
          <w:trHeight w:val="8222"/>
        </w:trPr>
        <w:tc>
          <w:tcPr>
            <w:tcW w:w="680" w:type="dxa"/>
            <w:textDirection w:val="tbRl"/>
            <w:vAlign w:val="center"/>
          </w:tcPr>
          <w:p w:rsidR="003D3251" w:rsidRPr="003D3251" w:rsidRDefault="003D3251" w:rsidP="003D3251">
            <w:pPr>
              <w:ind w:left="113" w:right="113"/>
              <w:rPr>
                <w:rFonts w:ascii="Verdana" w:hAnsi="Verdana"/>
                <w:b/>
                <w:caps/>
                <w:color w:val="FFFFFF" w:themeColor="background1"/>
              </w:rPr>
            </w:pPr>
            <w:r w:rsidRPr="003D3251">
              <w:rPr>
                <w:rFonts w:ascii="Verdana" w:hAnsi="Verdana"/>
                <w:b/>
                <w:caps/>
                <w:color w:val="FFFFFF" w:themeColor="background1"/>
              </w:rPr>
              <w:t>afDELING FOR bYG, lAND OG mILJØ</w:t>
            </w:r>
          </w:p>
        </w:tc>
      </w:tr>
      <w:tr w:rsidR="003D3251" w:rsidRPr="003D3251" w:rsidTr="00FB3FE6">
        <w:trPr>
          <w:cantSplit/>
          <w:trHeight w:val="4306"/>
        </w:trPr>
        <w:tc>
          <w:tcPr>
            <w:tcW w:w="680" w:type="dxa"/>
            <w:textDirection w:val="tbRl"/>
            <w:vAlign w:val="center"/>
          </w:tcPr>
          <w:p w:rsidR="003D3251" w:rsidRPr="003D3251" w:rsidRDefault="003D3251" w:rsidP="003D3251">
            <w:pPr>
              <w:ind w:left="113" w:right="113"/>
              <w:jc w:val="right"/>
              <w:rPr>
                <w:rFonts w:ascii="Verdana" w:hAnsi="Verdana"/>
                <w:color w:val="FFFFFF" w:themeColor="background1"/>
              </w:rPr>
            </w:pPr>
            <w:r w:rsidRPr="003D3251">
              <w:rPr>
                <w:rFonts w:ascii="Verdana" w:hAnsi="Verdana"/>
                <w:color w:val="FFFFFF" w:themeColor="background1"/>
              </w:rPr>
              <w:t>vordingborg.dk</w:t>
            </w:r>
          </w:p>
        </w:tc>
      </w:tr>
    </w:tbl>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 w:rsidR="003D3251" w:rsidRPr="003D3251" w:rsidRDefault="003D3251" w:rsidP="003D3251">
      <w:pPr>
        <w:rPr>
          <w:rFonts w:asciiTheme="minorHAnsi" w:hAnsiTheme="minorHAnsi"/>
          <w:b/>
          <w:sz w:val="44"/>
          <w:szCs w:val="44"/>
        </w:rPr>
      </w:pPr>
    </w:p>
    <w:p w:rsidR="003D3251" w:rsidRPr="003D3251" w:rsidRDefault="003D3251" w:rsidP="003D3251">
      <w:pPr>
        <w:rPr>
          <w:rFonts w:asciiTheme="minorHAnsi" w:hAnsiTheme="minorHAnsi" w:cs="Arial"/>
          <w:b/>
          <w:bCs/>
          <w:sz w:val="36"/>
          <w:szCs w:val="36"/>
        </w:rPr>
      </w:pPr>
    </w:p>
    <w:p w:rsidR="003D3251" w:rsidRPr="003D3251" w:rsidRDefault="003D3251" w:rsidP="003D3251">
      <w:pPr>
        <w:tabs>
          <w:tab w:val="left" w:pos="5325"/>
        </w:tabs>
        <w:rPr>
          <w:rFonts w:asciiTheme="minorHAnsi" w:hAnsiTheme="minorHAnsi" w:cs="Arial"/>
          <w:bCs/>
          <w:sz w:val="36"/>
          <w:szCs w:val="36"/>
        </w:rPr>
      </w:pPr>
      <w:r w:rsidRPr="003D3251">
        <w:rPr>
          <w:rFonts w:asciiTheme="minorHAnsi" w:hAnsiTheme="minorHAnsi" w:cs="Arial"/>
          <w:bCs/>
          <w:sz w:val="36"/>
          <w:szCs w:val="36"/>
        </w:rPr>
        <w:tab/>
      </w:r>
    </w:p>
    <w:p w:rsidR="003D3251" w:rsidRPr="003D3251" w:rsidRDefault="003D3251" w:rsidP="003D3251">
      <w:pPr>
        <w:rPr>
          <w:rFonts w:asciiTheme="minorHAnsi" w:hAnsiTheme="minorHAnsi" w:cs="Arial"/>
          <w:bCs/>
          <w:sz w:val="36"/>
          <w:szCs w:val="36"/>
        </w:rPr>
      </w:pPr>
    </w:p>
    <w:p w:rsidR="003D3251" w:rsidRPr="003D3251" w:rsidRDefault="003D3251" w:rsidP="003D3251">
      <w:pPr>
        <w:jc w:val="center"/>
        <w:rPr>
          <w:rFonts w:asciiTheme="minorHAnsi" w:hAnsiTheme="minorHAnsi" w:cs="Arial"/>
          <w:bCs/>
          <w:sz w:val="36"/>
          <w:szCs w:val="36"/>
        </w:rPr>
      </w:pPr>
    </w:p>
    <w:p w:rsidR="003D3251" w:rsidRPr="003D3251" w:rsidRDefault="003D3251" w:rsidP="003D3251">
      <w:pPr>
        <w:rPr>
          <w:rFonts w:asciiTheme="minorHAnsi" w:hAnsiTheme="minorHAnsi" w:cs="Arial"/>
          <w:bCs/>
          <w:sz w:val="36"/>
          <w:szCs w:val="36"/>
        </w:rPr>
      </w:pPr>
    </w:p>
    <w:p w:rsidR="003D3251" w:rsidRPr="003D3251" w:rsidRDefault="003D3251" w:rsidP="003D3251">
      <w:pPr>
        <w:rPr>
          <w:rFonts w:asciiTheme="minorHAnsi" w:hAnsiTheme="minorHAnsi" w:cs="Arial"/>
          <w:bCs/>
          <w:sz w:val="36"/>
          <w:szCs w:val="36"/>
        </w:rPr>
      </w:pPr>
    </w:p>
    <w:p w:rsidR="003D3251" w:rsidRPr="003D3251" w:rsidRDefault="003D3251" w:rsidP="003D3251">
      <w:pPr>
        <w:rPr>
          <w:rFonts w:asciiTheme="minorHAnsi" w:hAnsiTheme="minorHAnsi" w:cs="Arial"/>
          <w:bCs/>
          <w:sz w:val="36"/>
          <w:szCs w:val="36"/>
        </w:rPr>
      </w:pPr>
    </w:p>
    <w:p w:rsidR="003D3251" w:rsidRPr="003D3251" w:rsidRDefault="003D3251" w:rsidP="003D3251">
      <w:pPr>
        <w:rPr>
          <w:rFonts w:asciiTheme="minorHAnsi" w:hAnsiTheme="minorHAnsi" w:cs="Arial"/>
          <w:bCs/>
          <w:sz w:val="36"/>
          <w:szCs w:val="36"/>
        </w:rPr>
      </w:pPr>
    </w:p>
    <w:p w:rsidR="003D3251" w:rsidRPr="003D3251" w:rsidRDefault="003D3251" w:rsidP="003D3251">
      <w:pPr>
        <w:rPr>
          <w:rFonts w:asciiTheme="minorHAnsi" w:hAnsiTheme="minorHAnsi" w:cs="Arial"/>
          <w:bCs/>
          <w:sz w:val="36"/>
          <w:szCs w:val="36"/>
        </w:rPr>
      </w:pPr>
    </w:p>
    <w:p w:rsidR="003D3251" w:rsidRPr="003D3251" w:rsidRDefault="003D3251" w:rsidP="003D3251">
      <w:pPr>
        <w:rPr>
          <w:rFonts w:asciiTheme="minorHAnsi" w:hAnsiTheme="minorHAnsi" w:cs="Arial"/>
          <w:b/>
          <w:bCs/>
          <w:sz w:val="36"/>
          <w:szCs w:val="36"/>
        </w:rPr>
      </w:pPr>
    </w:p>
    <w:p w:rsidR="003D3251" w:rsidRPr="003D3251" w:rsidRDefault="003D3251" w:rsidP="003D3251"/>
    <w:p w:rsidR="003D3251" w:rsidRPr="003D3251" w:rsidRDefault="003D3251" w:rsidP="003D3251">
      <w:r w:rsidRPr="003D3251">
        <w:t xml:space="preserve">Gældende fra den </w:t>
      </w:r>
      <w:r w:rsidR="00B738AA">
        <w:t>31</w:t>
      </w:r>
      <w:r w:rsidRPr="003D3251">
        <w:t>-</w:t>
      </w:r>
      <w:r w:rsidR="00B738AA">
        <w:t>08</w:t>
      </w:r>
      <w:r w:rsidRPr="003D3251">
        <w:t>-2017</w:t>
      </w:r>
    </w:p>
    <w:p w:rsidR="003D3251" w:rsidRPr="003D3251" w:rsidRDefault="003D3251" w:rsidP="003D3251"/>
    <w:p w:rsidR="003D3251" w:rsidRPr="003D3251" w:rsidRDefault="003D3251" w:rsidP="003D3251"/>
    <w:p w:rsidR="003D3251" w:rsidRPr="003D3251" w:rsidRDefault="003D3251" w:rsidP="003D3251">
      <w:pPr>
        <w:tabs>
          <w:tab w:val="left" w:pos="6521"/>
        </w:tabs>
      </w:pPr>
      <w:r w:rsidRPr="003D3251">
        <w:tab/>
      </w:r>
    </w:p>
    <w:p w:rsidR="003D3251" w:rsidRPr="003D3251" w:rsidRDefault="003D3251" w:rsidP="003D3251">
      <w:pPr>
        <w:tabs>
          <w:tab w:val="left" w:pos="6521"/>
        </w:tabs>
      </w:pPr>
    </w:p>
    <w:p w:rsidR="003D3251" w:rsidRPr="003D3251" w:rsidRDefault="003D3251" w:rsidP="003D3251">
      <w:pPr>
        <w:tabs>
          <w:tab w:val="left" w:pos="6521"/>
        </w:tabs>
      </w:pPr>
    </w:p>
    <w:p w:rsidR="003D3251" w:rsidRPr="003D3251" w:rsidRDefault="003D3251" w:rsidP="003D3251">
      <w:pPr>
        <w:tabs>
          <w:tab w:val="left" w:pos="6521"/>
        </w:tabs>
      </w:pPr>
      <w:r w:rsidRPr="003D3251">
        <w:tab/>
        <w:t>Sags nr. 16/19270</w:t>
      </w:r>
    </w:p>
    <w:p w:rsidR="003D3251" w:rsidRPr="003D3251" w:rsidRDefault="003D3251" w:rsidP="003D3251">
      <w:pPr>
        <w:tabs>
          <w:tab w:val="left" w:pos="6521"/>
        </w:tabs>
      </w:pPr>
      <w:r w:rsidRPr="003D3251">
        <w:tab/>
        <w:t>Byg, Land og Miljø</w:t>
      </w:r>
      <w:r w:rsidRPr="003D3251">
        <w:tab/>
        <w:t>Telefon: 55 36 24 80</w:t>
      </w:r>
    </w:p>
    <w:p w:rsidR="003D3251" w:rsidRPr="003D3251" w:rsidRDefault="003D3251" w:rsidP="003D3251">
      <w:pPr>
        <w:tabs>
          <w:tab w:val="left" w:pos="6521"/>
        </w:tabs>
      </w:pPr>
      <w:r w:rsidRPr="003D3251">
        <w:tab/>
        <w:t>jordforurening@vordingborg.dk</w:t>
      </w:r>
      <w:r w:rsidRPr="003D3251">
        <w:tab/>
      </w:r>
    </w:p>
    <w:p w:rsidR="003D3251" w:rsidRPr="003D3251" w:rsidRDefault="003D3251" w:rsidP="003D3251">
      <w:pPr>
        <w:tabs>
          <w:tab w:val="left" w:pos="6521"/>
        </w:tabs>
      </w:pPr>
    </w:p>
    <w:p w:rsidR="003D3251" w:rsidRPr="003D3251" w:rsidRDefault="003D3251" w:rsidP="003D3251">
      <w:pPr>
        <w:tabs>
          <w:tab w:val="left" w:pos="6521"/>
        </w:tabs>
        <w:sectPr w:rsidR="003D3251" w:rsidRPr="003D3251" w:rsidSect="008C42B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cols w:space="708"/>
          <w:docGrid w:linePitch="360"/>
        </w:sectPr>
      </w:pPr>
    </w:p>
    <w:p w:rsidR="003D3251" w:rsidRPr="003D3251" w:rsidRDefault="003D3251" w:rsidP="003D3251">
      <w:pPr>
        <w:keepNext/>
        <w:keepLines/>
        <w:spacing w:before="200"/>
        <w:ind w:left="720" w:hanging="720"/>
        <w:outlineLvl w:val="2"/>
        <w:rPr>
          <w:rFonts w:ascii="Verdana" w:eastAsiaTheme="majorEastAsia" w:hAnsi="Verdana" w:cstheme="majorBidi"/>
          <w:b/>
          <w:bCs/>
          <w:color w:val="4F81BD" w:themeColor="accent1"/>
          <w:sz w:val="28"/>
          <w:szCs w:val="28"/>
        </w:rPr>
      </w:pPr>
      <w:r w:rsidRPr="003D3251">
        <w:rPr>
          <w:rFonts w:asciiTheme="majorHAnsi" w:eastAsia="Times New Roman" w:hAnsiTheme="majorHAnsi" w:cs="Times New Roman"/>
          <w:b/>
          <w:bCs/>
          <w:color w:val="4F81BD" w:themeColor="accent1"/>
          <w:szCs w:val="20"/>
          <w:lang w:eastAsia="da-DK"/>
        </w:rPr>
        <w:lastRenderedPageBreak/>
        <w:t xml:space="preserve"> </w:t>
      </w:r>
      <w:r w:rsidRPr="003D3251">
        <w:rPr>
          <w:rFonts w:ascii="Verdana" w:eastAsiaTheme="majorEastAsia" w:hAnsi="Verdana" w:cstheme="majorBidi"/>
          <w:b/>
          <w:bCs/>
          <w:sz w:val="28"/>
          <w:szCs w:val="28"/>
        </w:rPr>
        <w:t>REGULATIV FOR JORD</w:t>
      </w:r>
    </w:p>
    <w:p w:rsidR="003D3251" w:rsidRPr="003D3251" w:rsidRDefault="003D3251" w:rsidP="003D3251">
      <w:pPr>
        <w:keepNext/>
        <w:keepLines/>
        <w:spacing w:before="200"/>
        <w:outlineLvl w:val="2"/>
        <w:rPr>
          <w:rFonts w:asciiTheme="majorHAnsi" w:eastAsiaTheme="majorEastAsia" w:hAnsiTheme="majorHAnsi" w:cstheme="majorBidi"/>
          <w:b/>
          <w:bCs/>
          <w:color w:val="4F81BD" w:themeColor="accent1"/>
        </w:rPr>
      </w:pPr>
    </w:p>
    <w:p w:rsidR="003D3251" w:rsidRPr="003D3251" w:rsidRDefault="003D3251" w:rsidP="003D3251">
      <w:pPr>
        <w:keepNext/>
        <w:keepLines/>
        <w:spacing w:before="200"/>
        <w:outlineLvl w:val="2"/>
        <w:rPr>
          <w:rFonts w:ascii="Verdana" w:eastAsiaTheme="majorEastAsia" w:hAnsi="Verdana" w:cstheme="majorBidi"/>
          <w:b/>
          <w:bCs/>
        </w:rPr>
      </w:pPr>
      <w:r w:rsidRPr="003D3251">
        <w:rPr>
          <w:rFonts w:ascii="Verdana" w:eastAsiaTheme="majorEastAsia" w:hAnsi="Verdana" w:cstheme="majorBidi"/>
          <w:b/>
          <w:bCs/>
        </w:rPr>
        <w:t>§ 1 Formål</w:t>
      </w:r>
    </w:p>
    <w:p w:rsidR="003D3251" w:rsidRPr="003D3251" w:rsidRDefault="003D3251" w:rsidP="003D3251">
      <w:pPr>
        <w:autoSpaceDE w:val="0"/>
        <w:autoSpaceDN w:val="0"/>
        <w:adjustRightInd w:val="0"/>
        <w:rPr>
          <w:rFonts w:cs="Arial"/>
        </w:rPr>
      </w:pPr>
      <w:r w:rsidRPr="003D3251">
        <w:rPr>
          <w:rFonts w:cs="Arial"/>
        </w:rPr>
        <w:t xml:space="preserve">Formålet med dette regulativ er at fastsætte regler for håndtering af jord som borgere, grundejere og virksomheder i Vordingborg Kommune ønsker at skille sig af med. Reglerne fastsættes med henblik på at forebygge forurening af miljøet og risiko for menneskers sundhed samt at begrænse ressourceanvendelsen ved at fremme genanvendelse af jord. </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Formålet er endvidere at fastsætte regler om de kommunale ordninger for jord, som er affald, herunder ordningernes omfang og tilrettelæggelse, jf. miljøbeskyttelseslovens § 45 stk. 4.</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1.1 Bæredygtig jordhåndtering</w:t>
      </w:r>
    </w:p>
    <w:p w:rsidR="003D3251" w:rsidRPr="003D3251" w:rsidRDefault="003D3251" w:rsidP="003D3251">
      <w:pPr>
        <w:autoSpaceDE w:val="0"/>
        <w:autoSpaceDN w:val="0"/>
        <w:adjustRightInd w:val="0"/>
        <w:rPr>
          <w:rFonts w:cs="Arial"/>
        </w:rPr>
      </w:pPr>
      <w:r w:rsidRPr="003D3251">
        <w:rPr>
          <w:rFonts w:cs="Arial"/>
        </w:rPr>
        <w:t xml:space="preserve">Vordingborg Kommune har vedtaget Strategi for jordhåndtering, som har til formål at sikre en mere bæredygtig håndtering af overskudsjord. Strategien sigter bl.a. mod at tilvejebringe konkrete og fleksible løsninger til lokal nyttiggørelse af overskudsjord. På den måde bliver overskudsjord fra bygge- og anlægsprojekter til en ressource, der anvendes lokalt til gavn for borgerne i stedet for at være et dyrt affaldsprodukt, der transporteres over store afstande. Hensigten med regulativet er, at overskudsjord, der opgraves i kommunen, så vidt muligt nyttiggøres lokalt i et af de projekter, som kommunen har valgt at igangsætte på grundlag af strategien.  </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1.2 Områdeklassificering og jordflytning</w:t>
      </w:r>
    </w:p>
    <w:p w:rsidR="003D3251" w:rsidRPr="003D3251" w:rsidRDefault="003D3251" w:rsidP="003D3251">
      <w:pPr>
        <w:autoSpaceDE w:val="0"/>
        <w:autoSpaceDN w:val="0"/>
        <w:adjustRightInd w:val="0"/>
        <w:rPr>
          <w:rFonts w:cs="Arial"/>
        </w:rPr>
      </w:pPr>
      <w:r w:rsidRPr="003D3251">
        <w:rPr>
          <w:rFonts w:cs="Arial"/>
        </w:rPr>
        <w:t xml:space="preserve">Regulativet inddrager og undtager desuden områder fra områdeklassificeringen i Vordingborg Kommune, jf. jordforureningslovens § 50a, stk. 2 og 3. Dette sikrer en hensigtsmæssig håndtering af overskudsjord, således at forurenet jord håndteres miljømæssigt forsvarligt, og at </w:t>
      </w:r>
      <w:proofErr w:type="spellStart"/>
      <w:r w:rsidRPr="003D3251">
        <w:rPr>
          <w:rFonts w:cs="Arial"/>
        </w:rPr>
        <w:t>uforurenet</w:t>
      </w:r>
      <w:proofErr w:type="spellEnd"/>
      <w:r w:rsidRPr="003D3251">
        <w:rPr>
          <w:rFonts w:cs="Arial"/>
        </w:rPr>
        <w:t xml:space="preserve"> jord ikke unødigt håndteres som potentielt forurenet jord med f.eks. økonomiske og tidsmæssige ulemper til følge. </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1.3 Skema til anmeldelse af jordflytning</w:t>
      </w:r>
    </w:p>
    <w:p w:rsidR="003D3251" w:rsidRPr="003D3251" w:rsidRDefault="003D3251" w:rsidP="003D3251">
      <w:pPr>
        <w:tabs>
          <w:tab w:val="left" w:pos="180"/>
        </w:tabs>
        <w:rPr>
          <w:rFonts w:cs="Arial"/>
        </w:rPr>
      </w:pPr>
      <w:r w:rsidRPr="003D3251">
        <w:rPr>
          <w:rFonts w:cs="Arial"/>
        </w:rPr>
        <w:t xml:space="preserve">Regulativet fastlægger endvidere, at anmeldelse af jordflytning skal ske via et digitalt skema, jf. jordflytningsbekendtgørelsens § 15 stk. 1. Adgangen til anmeldeskemaet findes på kommunens hjemmeside, </w:t>
      </w:r>
      <w:hyperlink r:id="rId13" w:history="1">
        <w:r w:rsidRPr="003D3251">
          <w:rPr>
            <w:rFonts w:cs="Arial"/>
            <w:szCs w:val="20"/>
            <w:u w:val="single"/>
            <w:lang w:eastAsia="da-DK"/>
          </w:rPr>
          <w:t>www.jordflytning.vordingborg.dk</w:t>
        </w:r>
      </w:hyperlink>
      <w:r w:rsidRPr="003D3251">
        <w:rPr>
          <w:rFonts w:cs="Arial"/>
        </w:rPr>
        <w:t>.</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2 Lovgrundlag</w:t>
      </w:r>
    </w:p>
    <w:p w:rsidR="003D3251" w:rsidRPr="003D3251" w:rsidRDefault="003D3251" w:rsidP="003D3251">
      <w:pPr>
        <w:autoSpaceDE w:val="0"/>
        <w:autoSpaceDN w:val="0"/>
        <w:adjustRightInd w:val="0"/>
        <w:rPr>
          <w:rFonts w:cs="Arial"/>
        </w:rPr>
      </w:pPr>
      <w:r w:rsidRPr="003D3251">
        <w:rPr>
          <w:rFonts w:cs="Arial"/>
        </w:rPr>
        <w:t>Regulativet er udarbejdet i henhold til gældende miljølovgivning, herunder navnlig:</w:t>
      </w:r>
    </w:p>
    <w:p w:rsidR="003D3251" w:rsidRPr="003D3251" w:rsidRDefault="003D3251" w:rsidP="003D3251">
      <w:pPr>
        <w:tabs>
          <w:tab w:val="left" w:pos="180"/>
        </w:tabs>
        <w:ind w:left="360"/>
        <w:rPr>
          <w:rFonts w:cs="Arial"/>
        </w:rPr>
      </w:pPr>
    </w:p>
    <w:p w:rsidR="003D3251" w:rsidRPr="003D3251" w:rsidRDefault="003D3251" w:rsidP="003D3251">
      <w:pPr>
        <w:tabs>
          <w:tab w:val="left" w:pos="180"/>
        </w:tabs>
        <w:ind w:left="360"/>
        <w:rPr>
          <w:rFonts w:cs="Arial"/>
        </w:rPr>
      </w:pPr>
      <w:r w:rsidRPr="003D3251">
        <w:rPr>
          <w:rFonts w:cs="Arial"/>
        </w:rPr>
        <w:t>§ 19 stk. 2 i affaldsbekendtgørelsen – Bekendtgørelse nr. 1309 af 18. december 2012.</w:t>
      </w:r>
    </w:p>
    <w:p w:rsidR="003D3251" w:rsidRPr="003D3251" w:rsidRDefault="003D3251" w:rsidP="003D3251">
      <w:pPr>
        <w:tabs>
          <w:tab w:val="left" w:pos="180"/>
        </w:tabs>
        <w:ind w:left="360"/>
        <w:rPr>
          <w:rFonts w:cs="Arial"/>
        </w:rPr>
      </w:pPr>
      <w:r w:rsidRPr="003D3251">
        <w:rPr>
          <w:rFonts w:cs="Arial"/>
        </w:rPr>
        <w:t>§ 50 a stk. 2 og 3 i jordforureningsloven – Lovbekendtgørelse nr. 282 af 27. marts 2017.</w:t>
      </w:r>
    </w:p>
    <w:p w:rsidR="003D3251" w:rsidRPr="003D3251" w:rsidRDefault="003D3251" w:rsidP="003D3251">
      <w:pPr>
        <w:tabs>
          <w:tab w:val="left" w:pos="180"/>
        </w:tabs>
        <w:ind w:left="360"/>
        <w:rPr>
          <w:rFonts w:cs="Arial"/>
        </w:rPr>
      </w:pPr>
      <w:r w:rsidRPr="003D3251">
        <w:rPr>
          <w:rFonts w:cs="Arial"/>
        </w:rPr>
        <w:t>§ 15 stk. 1 i jordflytningsbekendtgørelsen – Bekendtgørelse nr. 1452 af 7. december 2015.</w:t>
      </w:r>
    </w:p>
    <w:p w:rsidR="003D3251" w:rsidRPr="003D3251" w:rsidRDefault="003D3251" w:rsidP="003D3251">
      <w:pPr>
        <w:tabs>
          <w:tab w:val="left" w:pos="180"/>
        </w:tabs>
        <w:ind w:left="360"/>
        <w:rPr>
          <w:rFonts w:cs="Arial"/>
        </w:rPr>
      </w:pPr>
      <w:r w:rsidRPr="003D3251">
        <w:rPr>
          <w:rFonts w:cs="Arial"/>
        </w:rPr>
        <w:t>§ 45 stk. 2 og 4 i miljøbeskyttelsesloven – Lovbekendtgørelse nr. 1189 af 27. september 2016.</w:t>
      </w:r>
    </w:p>
    <w:p w:rsidR="003D3251" w:rsidRPr="003D3251" w:rsidRDefault="003D3251" w:rsidP="003D3251">
      <w:pPr>
        <w:tabs>
          <w:tab w:val="left" w:pos="180"/>
        </w:tabs>
        <w:ind w:left="360"/>
        <w:rPr>
          <w:rFonts w:cs="Arial"/>
        </w:rPr>
      </w:pPr>
      <w:r w:rsidRPr="003D3251">
        <w:rPr>
          <w:rFonts w:cs="Arial"/>
        </w:rPr>
        <w:t>§ 48 i miljøbeskyttelsesloven – Lovbekendtgørelse nr. 1189 af 27. september 2016</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3 Definitioner</w:t>
      </w:r>
    </w:p>
    <w:p w:rsidR="003D3251" w:rsidRPr="003D3251" w:rsidRDefault="003D3251" w:rsidP="003D3251">
      <w:pPr>
        <w:autoSpaceDE w:val="0"/>
        <w:autoSpaceDN w:val="0"/>
        <w:adjustRightInd w:val="0"/>
        <w:rPr>
          <w:rFonts w:cs="Arial"/>
        </w:rPr>
      </w:pPr>
      <w:r w:rsidRPr="003D3251">
        <w:rPr>
          <w:rFonts w:cs="Arial"/>
        </w:rPr>
        <w:t>Definitioner af begreber, der anvendes i dette regulativ, svarer til de definitioner, der fremgår af affaldsbekendtgørelsen og jordflytningsbekendtgørelsen.</w:t>
      </w:r>
    </w:p>
    <w:p w:rsidR="003D3251" w:rsidRPr="003D3251" w:rsidRDefault="003D3251" w:rsidP="003D3251">
      <w:pPr>
        <w:autoSpaceDE w:val="0"/>
        <w:autoSpaceDN w:val="0"/>
        <w:adjustRightInd w:val="0"/>
        <w:rPr>
          <w:rFonts w:cs="Arial"/>
        </w:rPr>
      </w:pP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lastRenderedPageBreak/>
        <w:t>§ 4 Gebyrer</w:t>
      </w:r>
    </w:p>
    <w:p w:rsidR="003D3251" w:rsidRPr="003D3251" w:rsidRDefault="003D3251" w:rsidP="003D3251">
      <w:pPr>
        <w:autoSpaceDE w:val="0"/>
        <w:autoSpaceDN w:val="0"/>
        <w:adjustRightInd w:val="0"/>
        <w:rPr>
          <w:rFonts w:cs="Arial"/>
        </w:rPr>
      </w:pPr>
      <w:r w:rsidRPr="003D3251">
        <w:rPr>
          <w:rFonts w:cs="Arial"/>
        </w:rPr>
        <w:t xml:space="preserve">Kommunalbestyrelsen fastsætter gebyrer i henhold til miljøbeskyttelseslovens § 48 samt affaldsbekendtgørelsens kapitel 8. Kommunalbestyrelsen vedtager én gang årligt et gebyrblad, der angiver størrelsen på gebyrerne. Gebyrbladet er tilgængeligt på Vordingborg Kommunes hjemmeside. </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4.1 Gebyr til administration af jordflytninger</w:t>
      </w:r>
    </w:p>
    <w:p w:rsidR="003D3251" w:rsidRPr="003D3251" w:rsidRDefault="003D3251" w:rsidP="003D3251">
      <w:r w:rsidRPr="003D3251">
        <w:t>Til administration af jordflytningsbekendtgørelsen herunder nødvendige it-løsninger mv. opkræver kommunen et gebyr. Gebyret fastlægges som en del af grundbidraget for husholdningsaffald og administrationsgebyret for erhvervsaffald.</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4.2 Gebyr for modtagelse af jord</w:t>
      </w:r>
    </w:p>
    <w:p w:rsidR="003D3251" w:rsidRPr="003D3251" w:rsidRDefault="003D3251" w:rsidP="003D3251">
      <w:r w:rsidRPr="003D3251">
        <w:t xml:space="preserve">Til planlægning, etablering, drift, administration og forskudsvist dækning af planlagte investeringer af de lokale nyttiggørelsesprojekter og jordbanker, jf. kommunens Strategi for jordhåndtering, opkræves et gebyr for det jord, der afleveres til nyttiggørelsesprojekterne. Der fastsættes forskellige gebyrer for modtagelse af jord med forskellig forureningsgrad. Gebyret opkræves hos husholdninger og virksomheder, der benytter sig af ordningen. </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5 Bæredygtig jordhåndtering</w:t>
      </w:r>
    </w:p>
    <w:p w:rsidR="003D3251" w:rsidRPr="003D3251" w:rsidRDefault="003D3251" w:rsidP="003D3251">
      <w:r w:rsidRPr="003D3251">
        <w:t xml:space="preserve">Kommunens strategi for jordhåndtering sigter mod en mere bæredygtig håndtering af overskudsjord. Strategien udmøntes ved at tilstræbe følgende tre trin i prioriteret rækkefølge: </w:t>
      </w:r>
    </w:p>
    <w:p w:rsidR="003D3251" w:rsidRPr="003D3251" w:rsidRDefault="003D3251" w:rsidP="003D3251"/>
    <w:p w:rsidR="003D3251" w:rsidRPr="003D3251" w:rsidRDefault="003D3251" w:rsidP="003D3251">
      <w:pPr>
        <w:numPr>
          <w:ilvl w:val="0"/>
          <w:numId w:val="1"/>
        </w:numPr>
        <w:ind w:left="851" w:hanging="425"/>
        <w:contextualSpacing/>
      </w:pPr>
      <w:r w:rsidRPr="003D3251">
        <w:t>Begræns mængden af opgravet jord og behold jorden på matriklen</w:t>
      </w:r>
    </w:p>
    <w:p w:rsidR="003D3251" w:rsidRPr="003D3251" w:rsidRDefault="003D3251" w:rsidP="003D3251">
      <w:pPr>
        <w:numPr>
          <w:ilvl w:val="0"/>
          <w:numId w:val="1"/>
        </w:numPr>
        <w:ind w:left="851" w:hanging="425"/>
        <w:contextualSpacing/>
      </w:pPr>
      <w:r w:rsidRPr="003D3251">
        <w:t>Kør jorden direkte til lokale nyttiggørelsesprojekter</w:t>
      </w:r>
    </w:p>
    <w:p w:rsidR="003D3251" w:rsidRPr="003D3251" w:rsidRDefault="003D3251" w:rsidP="003D3251">
      <w:pPr>
        <w:numPr>
          <w:ilvl w:val="0"/>
          <w:numId w:val="1"/>
        </w:numPr>
        <w:ind w:left="851" w:hanging="425"/>
        <w:contextualSpacing/>
      </w:pPr>
      <w:r w:rsidRPr="003D3251">
        <w:t xml:space="preserve">Kør jorden i jordbank til der er brug for jorden lokalt. </w:t>
      </w:r>
    </w:p>
    <w:p w:rsidR="003D3251" w:rsidRPr="003D3251" w:rsidRDefault="003D3251" w:rsidP="003D3251"/>
    <w:p w:rsidR="003D3251" w:rsidRPr="003D3251" w:rsidRDefault="003D3251" w:rsidP="003D3251">
      <w:r w:rsidRPr="003D3251">
        <w:t>Til udmøntning af trin 2 og 3 er udarbejdet konkrete løsninger, hvor jord nyttiggøres til bl.a. fritids- og rekreative formål. De konkrete nyttiggørelsesprojekter, hvortil der modtages jord, fremgår af kommunens hjemmeside.</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6 Områdeklassificering</w:t>
      </w:r>
    </w:p>
    <w:p w:rsidR="003D3251" w:rsidRPr="003D3251" w:rsidRDefault="003D3251" w:rsidP="003D3251">
      <w:r w:rsidRPr="003D3251">
        <w:t>Områdeklassificering er en udpegning af områder, hvor jorden betragtes som lettere forurenet. Som udgangspunkt er alle byzoner områdeklassificeret</w:t>
      </w:r>
      <w:r w:rsidRPr="003D3251">
        <w:rPr>
          <w:rFonts w:cs="Arial"/>
        </w:rPr>
        <w:t>, men kommunen kan undtage område i byzonen fra områdeklassificeringen, ligesom kommunen kan inddrage områder uden for byzone i områdeklassificeringen.</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6.1 Undtagelse fra/inddragelse i områdeklassificeringen</w:t>
      </w:r>
    </w:p>
    <w:p w:rsidR="003D3251" w:rsidRPr="003D3251" w:rsidRDefault="003D3251" w:rsidP="003D3251">
      <w:pPr>
        <w:tabs>
          <w:tab w:val="left" w:pos="180"/>
        </w:tabs>
        <w:rPr>
          <w:rFonts w:cs="Arial"/>
        </w:rPr>
      </w:pPr>
      <w:r w:rsidRPr="003D3251">
        <w:rPr>
          <w:rFonts w:cs="Arial"/>
        </w:rPr>
        <w:t xml:space="preserve">Grundlaget samt de principper, der er anvendt til inddragelse af områder i og undtagelse af områder fra områdeklassificeringen, fremgår af Baggrundsnotat for områdeklassificering i Vordingborg Kommune. For hvert område, der er vurderet, tilhører et dokumentationsark, som indeholder begrundelse for områdets status i områdeklassificeringen   </w:t>
      </w:r>
    </w:p>
    <w:p w:rsidR="003D3251" w:rsidRPr="003D3251" w:rsidRDefault="003D3251" w:rsidP="003D3251">
      <w:pPr>
        <w:tabs>
          <w:tab w:val="left" w:pos="180"/>
        </w:tabs>
        <w:rPr>
          <w:rFonts w:cs="Arial"/>
        </w:rPr>
      </w:pPr>
    </w:p>
    <w:p w:rsidR="003D3251" w:rsidRPr="003D3251" w:rsidRDefault="003D3251" w:rsidP="003D3251">
      <w:pPr>
        <w:tabs>
          <w:tab w:val="left" w:pos="180"/>
        </w:tabs>
        <w:rPr>
          <w:rFonts w:cs="Arial"/>
        </w:rPr>
      </w:pPr>
      <w:r w:rsidRPr="003D3251">
        <w:rPr>
          <w:rFonts w:cs="Arial"/>
        </w:rPr>
        <w:t xml:space="preserve">De arealer, der er omfattet af områdeklassificeringen i Vordingborg Kommune, fremgår af det elektroniske kortmateriale på kommunens hjemmeside. </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6.2 Undtagelse af nye byzoner fra områdeklassificeringen</w:t>
      </w:r>
    </w:p>
    <w:p w:rsidR="003D3251" w:rsidRPr="003D3251" w:rsidRDefault="003D3251" w:rsidP="003D3251">
      <w:pPr>
        <w:tabs>
          <w:tab w:val="left" w:pos="180"/>
        </w:tabs>
        <w:rPr>
          <w:rFonts w:cs="Arial"/>
        </w:rPr>
      </w:pPr>
      <w:r w:rsidRPr="003D3251">
        <w:rPr>
          <w:rFonts w:cs="Arial"/>
        </w:rPr>
        <w:t xml:space="preserve">Arealer, der i dag ikke er byzone, men som i forbindelse med nye lokalplaner fastlægges som byzoner, vil i følge jordforureningslovens § 50a stk. 1 være omfattet af områdeklassificeringen. Da </w:t>
      </w:r>
      <w:r w:rsidRPr="003D3251">
        <w:rPr>
          <w:rFonts w:cs="Arial"/>
        </w:rPr>
        <w:lastRenderedPageBreak/>
        <w:t xml:space="preserve">jorden inden for disse nye byzoner i Vordingborg Kommune ofte vil være </w:t>
      </w:r>
      <w:proofErr w:type="spellStart"/>
      <w:r w:rsidRPr="003D3251">
        <w:rPr>
          <w:rFonts w:cs="Arial"/>
        </w:rPr>
        <w:t>uforurenet</w:t>
      </w:r>
      <w:proofErr w:type="spellEnd"/>
      <w:r w:rsidRPr="003D3251">
        <w:rPr>
          <w:rFonts w:cs="Arial"/>
        </w:rPr>
        <w:t xml:space="preserve">, vil de som regel kunne undtages fra områdeklassificeringen. Undtagelse fra områdeklassificeringen vil i disse tilfælde foregå samtidig med vedtagelse af lokalplanerne, og inddragelse af offentligheden forud for beslutningen om undtagelse fra områdeklassificeringen vil foregå samtidig med den offentlige høring af lokalplanforslaget. </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7 Skema til brug for anmeldelse af jordflytning</w:t>
      </w:r>
    </w:p>
    <w:p w:rsidR="003D3251" w:rsidRPr="003D3251" w:rsidRDefault="003D3251" w:rsidP="003D3251">
      <w:pPr>
        <w:tabs>
          <w:tab w:val="left" w:pos="180"/>
        </w:tabs>
        <w:rPr>
          <w:rFonts w:cs="Arial"/>
        </w:rPr>
      </w:pPr>
      <w:r w:rsidRPr="003D3251">
        <w:rPr>
          <w:rFonts w:cs="Arial"/>
        </w:rPr>
        <w:t xml:space="preserve">Anmeldelse af jordflytning efter jordflytningsbekendtgørelsens § 4 og § 9 skal i Vordingborg Kommune ske ved brug af et digitalt skema som findes på kommunens hjemmeside </w:t>
      </w:r>
      <w:hyperlink r:id="rId14" w:history="1">
        <w:r w:rsidRPr="003D3251">
          <w:rPr>
            <w:rFonts w:cs="Arial"/>
            <w:szCs w:val="20"/>
            <w:u w:val="single"/>
            <w:lang w:eastAsia="da-DK"/>
          </w:rPr>
          <w:t>www.jordflytning.vordingborg.dk</w:t>
        </w:r>
      </w:hyperlink>
      <w:r w:rsidRPr="003D3251">
        <w:rPr>
          <w:rFonts w:cs="Arial"/>
        </w:rPr>
        <w:t xml:space="preserve">. </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8 Ordning for jord, som er affald</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8.1 Hvad omfatter ordningen</w:t>
      </w:r>
    </w:p>
    <w:p w:rsidR="003D3251" w:rsidRPr="003D3251" w:rsidRDefault="003D3251" w:rsidP="003D3251">
      <w:pPr>
        <w:autoSpaceDE w:val="0"/>
        <w:autoSpaceDN w:val="0"/>
        <w:adjustRightInd w:val="0"/>
        <w:rPr>
          <w:rFonts w:cs="Arial"/>
        </w:rPr>
      </w:pPr>
      <w:r w:rsidRPr="003D3251">
        <w:rPr>
          <w:rFonts w:cs="Arial"/>
        </w:rPr>
        <w:t>Ordningen omfatter jord, som er omfattet af affaldsbekendtgørelsens definitioner på erhvervsaffald og husholdningsaffald bortset fra håndtering, som er reguleret af anden lovgivning.</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8.2 Hvem gælder ordningen for</w:t>
      </w:r>
    </w:p>
    <w:p w:rsidR="003D3251" w:rsidRPr="003D3251" w:rsidRDefault="003D3251" w:rsidP="003D3251">
      <w:pPr>
        <w:autoSpaceDE w:val="0"/>
        <w:autoSpaceDN w:val="0"/>
        <w:adjustRightInd w:val="0"/>
        <w:rPr>
          <w:rFonts w:cs="Arial"/>
        </w:rPr>
      </w:pPr>
      <w:r w:rsidRPr="003D3251">
        <w:rPr>
          <w:rFonts w:cs="Arial"/>
        </w:rPr>
        <w:t>Ordningen gælder for alle borgere, grundejere og virksomheder i kommunen samt virksomheder, der agerer i kommunen.</w:t>
      </w:r>
    </w:p>
    <w:p w:rsidR="003D3251" w:rsidRPr="003D3251" w:rsidRDefault="003D3251" w:rsidP="003D3251">
      <w:pPr>
        <w:keepNext/>
        <w:keepLines/>
        <w:spacing w:before="200"/>
        <w:ind w:left="720" w:hanging="720"/>
        <w:outlineLvl w:val="2"/>
        <w:rPr>
          <w:rFonts w:asciiTheme="majorHAnsi" w:eastAsiaTheme="majorEastAsia" w:hAnsiTheme="majorHAnsi" w:cstheme="majorBidi"/>
          <w:b/>
          <w:bCs/>
        </w:rPr>
      </w:pPr>
      <w:r w:rsidRPr="003D3251">
        <w:rPr>
          <w:rFonts w:asciiTheme="majorHAnsi" w:eastAsiaTheme="majorEastAsia" w:hAnsiTheme="majorHAnsi" w:cstheme="majorBidi"/>
          <w:b/>
          <w:bCs/>
        </w:rPr>
        <w:t>§ 8.3 Beskrivelse af ordningen</w:t>
      </w:r>
    </w:p>
    <w:p w:rsidR="003D3251" w:rsidRPr="003D3251" w:rsidRDefault="003D3251" w:rsidP="003D3251">
      <w:pPr>
        <w:keepNext/>
        <w:keepLines/>
        <w:spacing w:before="200"/>
        <w:ind w:left="720" w:hanging="720"/>
        <w:outlineLvl w:val="2"/>
        <w:rPr>
          <w:rFonts w:asciiTheme="majorHAnsi" w:eastAsiaTheme="majorEastAsia" w:hAnsiTheme="majorHAnsi" w:cstheme="majorBidi"/>
          <w:bCs/>
          <w:i/>
        </w:rPr>
      </w:pPr>
      <w:r w:rsidRPr="003D3251">
        <w:rPr>
          <w:rFonts w:asciiTheme="majorHAnsi" w:eastAsiaTheme="majorEastAsia" w:hAnsiTheme="majorHAnsi" w:cstheme="majorBidi"/>
          <w:bCs/>
          <w:i/>
        </w:rPr>
        <w:t>§ 8.3.1 Kildesortering og kategorisering</w:t>
      </w:r>
    </w:p>
    <w:p w:rsidR="003D3251" w:rsidRPr="003D3251" w:rsidRDefault="003D3251" w:rsidP="003D3251">
      <w:pPr>
        <w:autoSpaceDE w:val="0"/>
        <w:autoSpaceDN w:val="0"/>
        <w:adjustRightInd w:val="0"/>
        <w:rPr>
          <w:rFonts w:cs="Arial"/>
        </w:rPr>
      </w:pPr>
      <w:r w:rsidRPr="003D3251">
        <w:rPr>
          <w:rFonts w:cs="Arial"/>
        </w:rPr>
        <w:t xml:space="preserve">Den, der opgraver og håndterer jord, skal sikre, at jorden sorteres i overensstemmelse med affaldsbekendtgørelsens definition på kildesortering i forbindelse med opgravningen. Jorden skal som minimum sorteres i forurenet og </w:t>
      </w:r>
      <w:proofErr w:type="spellStart"/>
      <w:r w:rsidRPr="003D3251">
        <w:rPr>
          <w:rFonts w:cs="Arial"/>
        </w:rPr>
        <w:t>uforurenet</w:t>
      </w:r>
      <w:proofErr w:type="spellEnd"/>
      <w:r w:rsidRPr="003D3251">
        <w:rPr>
          <w:rFonts w:cs="Arial"/>
        </w:rPr>
        <w:t xml:space="preserve"> jord. Jord kan ofte med fordel, for den der skal skaffe sig af med den, endvidere sorteres i type - eksempelvis muld, fyldjord, intakt jord (herunder ler og sand). </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 xml:space="preserve">Den anmeldepligtige jord, jf. § 8.3.2 skal kategoriseres efter jordflytningsbekendtgørelsen. Hvis jorden ikke kan henføres til jordflytningsbekendtgørelsens kategorier, klassificeres jorden i klasse 0 til klasse 4 i henhold til Vejledning i Håndtering af forurenet jord på Sjælland. Vejledningen og jordklassernes grænseværdier kan findes på kommunens hjemmeside. </w:t>
      </w:r>
    </w:p>
    <w:p w:rsidR="003D3251" w:rsidRPr="003D3251" w:rsidRDefault="003D3251" w:rsidP="003D3251">
      <w:pPr>
        <w:keepNext/>
        <w:keepLines/>
        <w:spacing w:before="200"/>
        <w:ind w:left="720" w:hanging="720"/>
        <w:outlineLvl w:val="2"/>
        <w:rPr>
          <w:rFonts w:asciiTheme="majorHAnsi" w:eastAsiaTheme="majorEastAsia" w:hAnsiTheme="majorHAnsi" w:cstheme="majorBidi"/>
          <w:bCs/>
          <w:i/>
        </w:rPr>
      </w:pPr>
      <w:r w:rsidRPr="003D3251">
        <w:rPr>
          <w:rFonts w:asciiTheme="majorHAnsi" w:eastAsiaTheme="majorEastAsia" w:hAnsiTheme="majorHAnsi" w:cstheme="majorBidi"/>
          <w:bCs/>
          <w:i/>
        </w:rPr>
        <w:t>§ 8.3.2 Jordflytning, herunder anmeldelse heraf</w:t>
      </w:r>
    </w:p>
    <w:p w:rsidR="003D3251" w:rsidRPr="003D3251" w:rsidRDefault="003D3251" w:rsidP="003D3251">
      <w:pPr>
        <w:autoSpaceDE w:val="0"/>
        <w:autoSpaceDN w:val="0"/>
        <w:adjustRightInd w:val="0"/>
        <w:rPr>
          <w:rFonts w:cs="Arial"/>
        </w:rPr>
      </w:pPr>
      <w:r w:rsidRPr="003D3251">
        <w:rPr>
          <w:rFonts w:cs="Arial"/>
        </w:rPr>
        <w:t>Flytning af forurenet jord, jord fra en kortlagt ejendom, jord fra en kortlagt del af en ejendom, jord fra offentlig vej, jord fra områdeklassificerede områder og jord fra et godkendt modtageanlæg, jf. jordflytningsbekendtgørelsens § 2, skal anmeldes efter jordflytningsbekendtgørelsens regler om anmeldelse og dokumentation i forbindelse med jordflytninger.</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Til anmeldelse af jordflytning skal benyttes det digitale anmeldeskema, jf. § 7</w:t>
      </w:r>
    </w:p>
    <w:p w:rsidR="003D3251" w:rsidRPr="003D3251" w:rsidRDefault="003D3251" w:rsidP="003D3251">
      <w:pPr>
        <w:keepNext/>
        <w:keepLines/>
        <w:spacing w:before="200"/>
        <w:ind w:left="720" w:hanging="720"/>
        <w:outlineLvl w:val="2"/>
        <w:rPr>
          <w:rFonts w:asciiTheme="majorHAnsi" w:eastAsiaTheme="majorEastAsia" w:hAnsiTheme="majorHAnsi" w:cstheme="majorBidi"/>
          <w:bCs/>
          <w:i/>
        </w:rPr>
      </w:pPr>
      <w:r w:rsidRPr="003D3251">
        <w:rPr>
          <w:rFonts w:asciiTheme="majorHAnsi" w:eastAsiaTheme="majorEastAsia" w:hAnsiTheme="majorHAnsi" w:cstheme="majorBidi"/>
          <w:bCs/>
          <w:i/>
        </w:rPr>
        <w:t>§ 8.3.3 Aflevering på genbrugspladsen</w:t>
      </w:r>
    </w:p>
    <w:p w:rsidR="003D3251" w:rsidRPr="003D3251" w:rsidRDefault="003D3251" w:rsidP="003D3251">
      <w:pPr>
        <w:autoSpaceDE w:val="0"/>
        <w:autoSpaceDN w:val="0"/>
        <w:adjustRightInd w:val="0"/>
        <w:rPr>
          <w:rFonts w:cs="Arial"/>
        </w:rPr>
      </w:pPr>
      <w:r w:rsidRPr="003D3251">
        <w:rPr>
          <w:rFonts w:cs="Arial"/>
        </w:rPr>
        <w:t xml:space="preserve">Ved aflevering af jord på genbrugspladsen anvendes reglerne vedrørende Ordning for genbrugspladser i husholdningsaffaldsregulativet og erhvervsaffaldsregulativet. </w:t>
      </w:r>
    </w:p>
    <w:p w:rsidR="003D3251" w:rsidRPr="003D3251" w:rsidRDefault="003D3251" w:rsidP="003D3251">
      <w:pPr>
        <w:keepNext/>
        <w:keepLines/>
        <w:spacing w:before="200"/>
        <w:ind w:left="720" w:hanging="720"/>
        <w:outlineLvl w:val="2"/>
        <w:rPr>
          <w:rFonts w:asciiTheme="majorHAnsi" w:eastAsiaTheme="majorEastAsia" w:hAnsiTheme="majorHAnsi" w:cstheme="majorBidi"/>
          <w:bCs/>
          <w:i/>
        </w:rPr>
      </w:pPr>
      <w:r w:rsidRPr="003D3251">
        <w:rPr>
          <w:rFonts w:asciiTheme="majorHAnsi" w:eastAsiaTheme="majorEastAsia" w:hAnsiTheme="majorHAnsi" w:cstheme="majorBidi"/>
          <w:bCs/>
          <w:i/>
        </w:rPr>
        <w:lastRenderedPageBreak/>
        <w:t>§ 8.3.4 Anvisning af jord, som er affald</w:t>
      </w:r>
    </w:p>
    <w:p w:rsidR="003D3251" w:rsidRPr="003D3251" w:rsidRDefault="003D3251" w:rsidP="003D3251">
      <w:pPr>
        <w:autoSpaceDE w:val="0"/>
        <w:autoSpaceDN w:val="0"/>
        <w:adjustRightInd w:val="0"/>
        <w:rPr>
          <w:rFonts w:cs="Arial"/>
        </w:rPr>
      </w:pPr>
      <w:r w:rsidRPr="003D3251">
        <w:rPr>
          <w:rFonts w:cs="Arial"/>
        </w:rPr>
        <w:t>Kildesorteret og kategoriseret eller klassificeret jord, jf. regulativets § 8.3.1 skal afhængigt af kategoriseringen/klassificeringen føres til et godkendt nyttiggørelsesprojekt, en jordbank, eller et godkendt jordrense- eller deponeringsanlæg. Jorden kan ligeledes anvendes til andre formål efter de regler, der gælder i de konkrete tilfælde.</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I Vordingborg Kommune er der i forbindelse med kommunens Strategi for jordhåndtering igangsat lokale løsninger til nyttiggørelse af jord, samt jordbanker, hvor jord kan modtages. Oplysninger vedr. de enkelte nyttiggørelsesprojekter og jordhoteller – deres placering, modtagevilkår, kontaktoplysninger mv. – kan ses på kommunens hjemmeside.</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Jord, der ikke er kildesorteret eller kategoriseret, skal føres til et godkendt karteringsanlæg, der foretager sortering og kategorisering med henblik på den videre håndtering.</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Jord, der indeholder andre affaldsfraktioner, som ikke kan frasorteres, skal deponeres på et anlæg, der er godkendt til denne affaldstype eller nyttiggøres efter konkret myndighedsvurdering efter reglerne i miljøbeskyttelsesloven og anden relevant lovgivning.</w:t>
      </w:r>
    </w:p>
    <w:p w:rsidR="003D3251" w:rsidRPr="003D3251" w:rsidRDefault="003D3251" w:rsidP="003D3251">
      <w:pPr>
        <w:keepNext/>
        <w:keepLines/>
        <w:spacing w:before="200"/>
        <w:ind w:left="720" w:hanging="720"/>
        <w:outlineLvl w:val="2"/>
        <w:rPr>
          <w:rFonts w:asciiTheme="majorHAnsi" w:eastAsiaTheme="majorEastAsia" w:hAnsiTheme="majorHAnsi" w:cstheme="majorBidi"/>
          <w:bCs/>
          <w:i/>
        </w:rPr>
      </w:pPr>
      <w:r w:rsidRPr="003D3251">
        <w:rPr>
          <w:rFonts w:asciiTheme="majorHAnsi" w:eastAsiaTheme="majorEastAsia" w:hAnsiTheme="majorHAnsi" w:cstheme="majorBidi"/>
          <w:bCs/>
          <w:i/>
        </w:rPr>
        <w:t>§ 8.3.5 Konkret anvisning</w:t>
      </w:r>
    </w:p>
    <w:p w:rsidR="003D3251" w:rsidRPr="003D3251" w:rsidRDefault="003D3251" w:rsidP="003D3251">
      <w:pPr>
        <w:autoSpaceDE w:val="0"/>
        <w:autoSpaceDN w:val="0"/>
        <w:adjustRightInd w:val="0"/>
        <w:rPr>
          <w:rFonts w:cs="Arial"/>
        </w:rPr>
      </w:pPr>
      <w:r w:rsidRPr="003D3251">
        <w:rPr>
          <w:rFonts w:cs="Arial"/>
        </w:rPr>
        <w:t>Såfremt affaldsproducenten ikke benytter den generelle anvisningsordning jf. § 8.3.4 skal denne tage kontakt til Vordingborg Kommune med henblik på konkret anvisning, jf. affalds-bekendtgørelsen.</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9 Klage</w:t>
      </w:r>
    </w:p>
    <w:p w:rsidR="003D3251" w:rsidRPr="003D3251" w:rsidRDefault="003D3251" w:rsidP="003D3251">
      <w:pPr>
        <w:autoSpaceDE w:val="0"/>
        <w:autoSpaceDN w:val="0"/>
        <w:adjustRightInd w:val="0"/>
        <w:rPr>
          <w:rFonts w:cs="Arial"/>
        </w:rPr>
      </w:pPr>
      <w:r w:rsidRPr="003D3251">
        <w:rPr>
          <w:rFonts w:cs="Arial"/>
        </w:rPr>
        <w:t>Regulativets bestemmelser kan ikke påklages til anden administrativ myndighed.</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10 Overtrædelse og straf</w:t>
      </w:r>
    </w:p>
    <w:p w:rsidR="003D3251" w:rsidRPr="003D3251" w:rsidRDefault="003D3251" w:rsidP="003D3251">
      <w:pPr>
        <w:autoSpaceDE w:val="0"/>
        <w:autoSpaceDN w:val="0"/>
        <w:adjustRightInd w:val="0"/>
        <w:rPr>
          <w:rFonts w:cs="Arial"/>
        </w:rPr>
      </w:pPr>
      <w:r w:rsidRPr="003D3251">
        <w:rPr>
          <w:rFonts w:cs="Arial"/>
        </w:rPr>
        <w:t>Overtrædelse af regulativet straffes med bøde, jf. affaldsbekendtgørelsens § 94 stk. 1, nr. 2 og jordflytningsbekendtgørelsens § 19 stk. 1. Efter affaldsbekendtgørelsens § 94 stk. 2 og jordflyttebekendtgørelsens § 19 stk. 2 kan straffen stige til fængsel i indtil 2 år, hvis overtrædelsen er begået forsætligt eller ved grov uagtsomhed, og hvis der ved overtrædelsen er 1) voldt skade på miljøet eller fremkaldt fare derfor eller 2) opnået eller tilsigtet en økonomisk fordel for den pågældende selv eller andre, herunder ved besparelser.</w:t>
      </w:r>
    </w:p>
    <w:p w:rsidR="003D3251" w:rsidRPr="003D3251" w:rsidRDefault="003D3251" w:rsidP="003D3251">
      <w:pPr>
        <w:keepNext/>
        <w:keepLines/>
        <w:spacing w:before="200"/>
        <w:ind w:left="720" w:hanging="720"/>
        <w:outlineLvl w:val="2"/>
        <w:rPr>
          <w:rFonts w:ascii="Verdana" w:eastAsiaTheme="majorEastAsia" w:hAnsi="Verdana" w:cstheme="majorBidi"/>
          <w:b/>
          <w:bCs/>
        </w:rPr>
      </w:pPr>
      <w:r w:rsidRPr="003D3251">
        <w:rPr>
          <w:rFonts w:ascii="Verdana" w:eastAsiaTheme="majorEastAsia" w:hAnsi="Verdana" w:cstheme="majorBidi"/>
          <w:b/>
          <w:bCs/>
        </w:rPr>
        <w:t>§ 11 Ikrafttrædelse</w:t>
      </w:r>
    </w:p>
    <w:p w:rsidR="003D3251" w:rsidRPr="003D3251" w:rsidRDefault="003D3251" w:rsidP="003D3251">
      <w:pPr>
        <w:autoSpaceDE w:val="0"/>
        <w:autoSpaceDN w:val="0"/>
        <w:adjustRightInd w:val="0"/>
        <w:rPr>
          <w:rFonts w:cs="Arial"/>
        </w:rPr>
      </w:pPr>
      <w:r w:rsidRPr="003D3251">
        <w:rPr>
          <w:rFonts w:cs="Arial"/>
        </w:rPr>
        <w:t>Dette</w:t>
      </w:r>
      <w:r w:rsidR="006F180A">
        <w:rPr>
          <w:rFonts w:cs="Arial"/>
        </w:rPr>
        <w:t xml:space="preserve"> regulativ træder i kraft den 31</w:t>
      </w:r>
      <w:r w:rsidRPr="003D3251">
        <w:rPr>
          <w:rFonts w:cs="Arial"/>
        </w:rPr>
        <w:t>.</w:t>
      </w:r>
      <w:r w:rsidR="006F180A">
        <w:rPr>
          <w:rFonts w:cs="Arial"/>
        </w:rPr>
        <w:t xml:space="preserve"> august</w:t>
      </w:r>
      <w:r w:rsidRPr="003D3251">
        <w:rPr>
          <w:rFonts w:cs="Arial"/>
        </w:rPr>
        <w:t xml:space="preserve"> 2017.</w:t>
      </w:r>
    </w:p>
    <w:p w:rsidR="003D3251" w:rsidRPr="003D3251" w:rsidRDefault="003D3251" w:rsidP="003D3251">
      <w:pPr>
        <w:tabs>
          <w:tab w:val="left" w:pos="180"/>
        </w:tabs>
        <w:rPr>
          <w:rFonts w:cs="Arial"/>
        </w:rPr>
      </w:pPr>
    </w:p>
    <w:p w:rsidR="003D3251" w:rsidRPr="003D3251" w:rsidRDefault="003D3251" w:rsidP="003D3251">
      <w:pPr>
        <w:tabs>
          <w:tab w:val="left" w:pos="180"/>
        </w:tabs>
        <w:rPr>
          <w:rFonts w:cs="Arial"/>
        </w:rPr>
      </w:pPr>
      <w:r w:rsidRPr="003D3251">
        <w:rPr>
          <w:rFonts w:cs="Arial"/>
        </w:rPr>
        <w:t>Samtidigt med ikrafttrædelse af dette regulativ ophæves ”Regulativ for jord” af den 5. april 2012.</w:t>
      </w: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 xml:space="preserve">Således vedtaget af kommunalbestyrelsen i Vordingborg Kommune den </w:t>
      </w:r>
      <w:r w:rsidR="006F180A">
        <w:rPr>
          <w:rFonts w:cs="Arial"/>
        </w:rPr>
        <w:t>31. august</w:t>
      </w:r>
      <w:r w:rsidRPr="003D3251">
        <w:rPr>
          <w:rFonts w:cs="Arial"/>
        </w:rPr>
        <w:t xml:space="preserve"> 2017.</w:t>
      </w:r>
    </w:p>
    <w:p w:rsidR="003D3251" w:rsidRPr="003D3251" w:rsidRDefault="003D3251" w:rsidP="003D3251">
      <w:pPr>
        <w:autoSpaceDE w:val="0"/>
        <w:autoSpaceDN w:val="0"/>
        <w:adjustRightInd w:val="0"/>
        <w:rPr>
          <w:rFonts w:cs="Arial"/>
        </w:rPr>
      </w:pPr>
      <w:bookmarkStart w:id="0" w:name="_GoBack"/>
      <w:bookmarkEnd w:id="0"/>
    </w:p>
    <w:p w:rsidR="003D3251" w:rsidRPr="003D3251" w:rsidRDefault="003D3251" w:rsidP="003D3251">
      <w:pPr>
        <w:autoSpaceDE w:val="0"/>
        <w:autoSpaceDN w:val="0"/>
        <w:adjustRightInd w:val="0"/>
        <w:rPr>
          <w:rFonts w:cs="Arial"/>
        </w:rPr>
      </w:pPr>
    </w:p>
    <w:p w:rsidR="003D3251" w:rsidRPr="003D3251" w:rsidRDefault="003D3251" w:rsidP="003D3251">
      <w:pPr>
        <w:autoSpaceDE w:val="0"/>
        <w:autoSpaceDN w:val="0"/>
        <w:adjustRightInd w:val="0"/>
        <w:rPr>
          <w:rFonts w:cs="Arial"/>
        </w:rPr>
      </w:pPr>
      <w:r w:rsidRPr="003D3251">
        <w:rPr>
          <w:rFonts w:cs="Arial"/>
        </w:rPr>
        <w:tab/>
      </w:r>
      <w:r w:rsidRPr="003D3251">
        <w:rPr>
          <w:rFonts w:cs="Arial"/>
        </w:rPr>
        <w:tab/>
      </w:r>
    </w:p>
    <w:p w:rsidR="003D3251" w:rsidRPr="003D3251" w:rsidRDefault="003D3251" w:rsidP="003D3251">
      <w:pPr>
        <w:autoSpaceDE w:val="0"/>
        <w:autoSpaceDN w:val="0"/>
        <w:adjustRightInd w:val="0"/>
        <w:rPr>
          <w:rFonts w:cs="Arial"/>
        </w:rPr>
      </w:pPr>
      <w:r w:rsidRPr="003D3251">
        <w:rPr>
          <w:rFonts w:cs="Arial"/>
        </w:rPr>
        <w:t xml:space="preserve">Borgmester Michael Seiding Larsen </w:t>
      </w:r>
      <w:r w:rsidRPr="003D3251">
        <w:rPr>
          <w:rFonts w:cs="Arial"/>
        </w:rPr>
        <w:tab/>
      </w:r>
      <w:r w:rsidRPr="003D3251">
        <w:rPr>
          <w:rFonts w:cs="Arial"/>
        </w:rPr>
        <w:tab/>
        <w:t>Kommunaldirektør Lau Svendsen-Tune</w:t>
      </w:r>
    </w:p>
    <w:p w:rsidR="00FA24FC" w:rsidRPr="001E6779" w:rsidRDefault="00FA24FC" w:rsidP="001E6779"/>
    <w:sectPr w:rsidR="00FA24FC" w:rsidRPr="001E6779" w:rsidSect="006B7351">
      <w:headerReference w:type="even" r:id="rId15"/>
      <w:headerReference w:type="default" r:id="rId16"/>
      <w:footerReference w:type="default" r:id="rId17"/>
      <w:headerReference w:type="first" r:id="rId18"/>
      <w:pgSz w:w="11906" w:h="16838" w:code="9"/>
      <w:pgMar w:top="1985"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539" w:rsidRDefault="00B738AA">
      <w:pPr>
        <w:spacing w:line="240" w:lineRule="auto"/>
      </w:pPr>
      <w:r>
        <w:separator/>
      </w:r>
    </w:p>
  </w:endnote>
  <w:endnote w:type="continuationSeparator" w:id="0">
    <w:p w:rsidR="00205539" w:rsidRDefault="00B73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FC" w:rsidRDefault="00F60CF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51" w:rsidRDefault="003D3251">
    <w:pPr>
      <w:pStyle w:val="Sidefod"/>
    </w:pPr>
    <w:r>
      <w:rPr>
        <w:noProof/>
        <w:lang w:eastAsia="da-DK"/>
      </w:rPr>
      <w:drawing>
        <wp:anchor distT="0" distB="0" distL="114300" distR="114300" simplePos="0" relativeHeight="251661312" behindDoc="1" locked="0" layoutInCell="1" allowOverlap="1" wp14:anchorId="70109BA2" wp14:editId="482F9B09">
          <wp:simplePos x="0" y="0"/>
          <wp:positionH relativeFrom="page">
            <wp:posOffset>723900</wp:posOffset>
          </wp:positionH>
          <wp:positionV relativeFrom="page">
            <wp:posOffset>8924925</wp:posOffset>
          </wp:positionV>
          <wp:extent cx="3131820" cy="1043305"/>
          <wp:effectExtent l="0" t="0" r="0" b="4445"/>
          <wp:wrapNone/>
          <wp:docPr id="4" name="Bille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FC" w:rsidRDefault="00F60CF1">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119159"/>
      <w:docPartObj>
        <w:docPartGallery w:val="Page Numbers (Bottom of Page)"/>
        <w:docPartUnique/>
      </w:docPartObj>
    </w:sdtPr>
    <w:sdtEndPr>
      <w:rPr>
        <w:sz w:val="17"/>
        <w:szCs w:val="17"/>
      </w:rPr>
    </w:sdtEndPr>
    <w:sdtContent>
      <w:p w:rsidR="00741A24" w:rsidRPr="00741A24" w:rsidRDefault="003D3251">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F60CF1">
          <w:rPr>
            <w:noProof/>
            <w:sz w:val="17"/>
            <w:szCs w:val="17"/>
          </w:rPr>
          <w:t>5</w:t>
        </w:r>
        <w:r w:rsidRPr="00741A24">
          <w:rPr>
            <w:sz w:val="17"/>
            <w:szCs w:val="17"/>
          </w:rPr>
          <w:fldChar w:fldCharType="end"/>
        </w:r>
      </w:p>
    </w:sdtContent>
  </w:sdt>
  <w:p w:rsidR="008C42B4" w:rsidRPr="00A03672" w:rsidRDefault="00F60CF1"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539" w:rsidRDefault="00B738AA">
      <w:pPr>
        <w:spacing w:line="240" w:lineRule="auto"/>
      </w:pPr>
      <w:r>
        <w:separator/>
      </w:r>
    </w:p>
  </w:footnote>
  <w:footnote w:type="continuationSeparator" w:id="0">
    <w:p w:rsidR="00205539" w:rsidRDefault="00B738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FC" w:rsidRDefault="00F60CF1">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380B51" w:rsidRDefault="003D3251">
    <w:pPr>
      <w:pStyle w:val="Sidehoved"/>
    </w:pPr>
    <w:r>
      <w:rPr>
        <w:noProof/>
        <w:lang w:eastAsia="da-DK"/>
      </w:rPr>
      <w:drawing>
        <wp:anchor distT="0" distB="0" distL="114300" distR="114300" simplePos="0" relativeHeight="251662336" behindDoc="1" locked="0" layoutInCell="1" allowOverlap="1" wp14:anchorId="6E992DC5" wp14:editId="057DBF87">
          <wp:simplePos x="0" y="0"/>
          <wp:positionH relativeFrom="page">
            <wp:posOffset>719455</wp:posOffset>
          </wp:positionH>
          <wp:positionV relativeFrom="page">
            <wp:posOffset>755650</wp:posOffset>
          </wp:positionV>
          <wp:extent cx="2519680" cy="755650"/>
          <wp:effectExtent l="0" t="0" r="0" b="635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0288" behindDoc="1" locked="0" layoutInCell="1" allowOverlap="1" wp14:anchorId="44295351" wp14:editId="006E29E3">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6B4A7" id="CoverColor2" o:spid="_x0000_s1026" style="position:absolute;margin-left:561.35pt;margin-top:102.05pt;width:34pt;height:73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1D49ACAE" wp14:editId="2E724011">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FF9AB"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" filled="f" stroked="f" strokeweight="2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FC" w:rsidRDefault="00F60CF1">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FC" w:rsidRDefault="00F60CF1">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5B20C1" w:rsidRDefault="003D3251" w:rsidP="005B20C1">
    <w:pPr>
      <w:pStyle w:val="Sidehoved"/>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EFC" w:rsidRDefault="00F60CF1">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61E5B"/>
    <w:multiLevelType w:val="hybridMultilevel"/>
    <w:tmpl w:val="2A4CFB0A"/>
    <w:lvl w:ilvl="0" w:tplc="CF465D56">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InTemplateCenterEnabled" w:val="False"/>
  </w:docVars>
  <w:rsids>
    <w:rsidRoot w:val="00370D14"/>
    <w:rsid w:val="001E6779"/>
    <w:rsid w:val="00205539"/>
    <w:rsid w:val="00281FCF"/>
    <w:rsid w:val="00370D14"/>
    <w:rsid w:val="00382DFA"/>
    <w:rsid w:val="003D3251"/>
    <w:rsid w:val="0044789D"/>
    <w:rsid w:val="0056364B"/>
    <w:rsid w:val="006F180A"/>
    <w:rsid w:val="007F43C6"/>
    <w:rsid w:val="00B738AA"/>
    <w:rsid w:val="00BE0FE6"/>
    <w:rsid w:val="00EE01CF"/>
    <w:rsid w:val="00F60CF1"/>
    <w:rsid w:val="00FA24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9AD1477-6628-439F-881D-C51BAA6B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89D"/>
    <w:pPr>
      <w:spacing w:after="0"/>
    </w:pPr>
    <w:rPr>
      <w:rFonts w:ascii="Arial" w:hAnsi="Arial"/>
    </w:rPr>
  </w:style>
  <w:style w:type="paragraph" w:styleId="Overskrift1">
    <w:name w:val="heading 1"/>
    <w:basedOn w:val="Normal"/>
    <w:next w:val="Normal"/>
    <w:link w:val="Overskrift1Tegn"/>
    <w:uiPriority w:val="9"/>
    <w:qFormat/>
    <w:rsid w:val="00EE01CF"/>
    <w:pPr>
      <w:keepNext/>
      <w:keepLines/>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EE01CF"/>
    <w:pPr>
      <w:keepNext/>
      <w:keepLines/>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3D32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01CF"/>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EE01CF"/>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3D3251"/>
    <w:rPr>
      <w:rFonts w:asciiTheme="majorHAnsi" w:eastAsiaTheme="majorEastAsia" w:hAnsiTheme="majorHAnsi" w:cstheme="majorBidi"/>
      <w:color w:val="243F60" w:themeColor="accent1" w:themeShade="7F"/>
      <w:sz w:val="24"/>
      <w:szCs w:val="24"/>
    </w:rPr>
  </w:style>
  <w:style w:type="table" w:styleId="Tabel-Gitter">
    <w:name w:val="Table Grid"/>
    <w:basedOn w:val="Tabel-Normal"/>
    <w:uiPriority w:val="59"/>
    <w:rsid w:val="003D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D325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D3251"/>
    <w:rPr>
      <w:rFonts w:ascii="Arial" w:hAnsi="Arial"/>
    </w:rPr>
  </w:style>
  <w:style w:type="paragraph" w:styleId="Sidefod">
    <w:name w:val="footer"/>
    <w:basedOn w:val="Normal"/>
    <w:link w:val="SidefodTegn"/>
    <w:uiPriority w:val="99"/>
    <w:unhideWhenUsed/>
    <w:rsid w:val="003D3251"/>
    <w:pPr>
      <w:tabs>
        <w:tab w:val="center" w:pos="4819"/>
        <w:tab w:val="right" w:pos="9638"/>
      </w:tabs>
      <w:spacing w:line="240" w:lineRule="auto"/>
    </w:pPr>
  </w:style>
  <w:style w:type="character" w:customStyle="1" w:styleId="SidefodTegn">
    <w:name w:val="Sidefod Tegn"/>
    <w:basedOn w:val="Standardskrifttypeiafsnit"/>
    <w:link w:val="Sidefod"/>
    <w:uiPriority w:val="99"/>
    <w:rsid w:val="003D325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ordflytning.vordingborg.dk"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ordflytning.vordingborg.d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9B679974</Template>
  <TotalTime>1</TotalTime>
  <Pages>5</Pages>
  <Words>1519</Words>
  <Characters>9268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 Johansen</dc:creator>
  <cp:lastModifiedBy>Benja Johansen</cp:lastModifiedBy>
  <cp:revision>2</cp:revision>
  <dcterms:created xsi:type="dcterms:W3CDTF">2017-11-20T09:50:00Z</dcterms:created>
  <dcterms:modified xsi:type="dcterms:W3CDTF">2017-11-20T09:50:00Z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{50320F1C-0276-4955-B061-96A699F8E758}</vt:lpwstr>
  </property>
</Properties>
</file>