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95057" w:rsidRPr="00F556E3" w14:paraId="37B9007B" w14:textId="77777777" w:rsidTr="00FC3072">
        <w:tc>
          <w:tcPr>
            <w:tcW w:w="3189" w:type="dxa"/>
          </w:tcPr>
          <w:p w14:paraId="384BDE6C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Hvad er ydelsens lov</w:t>
            </w:r>
            <w:r w:rsidRPr="00F556E3">
              <w:rPr>
                <w:rFonts w:ascii="Arial" w:hAnsi="Arial" w:cs="Arial"/>
              </w:rPr>
              <w:softHyphen/>
              <w:t>grund</w:t>
            </w:r>
            <w:r w:rsidRPr="00F556E3">
              <w:rPr>
                <w:rFonts w:ascii="Arial" w:hAnsi="Arial" w:cs="Arial"/>
              </w:rPr>
              <w:softHyphen/>
              <w:t>lag?</w:t>
            </w:r>
          </w:p>
        </w:tc>
        <w:tc>
          <w:tcPr>
            <w:tcW w:w="6589" w:type="dxa"/>
          </w:tcPr>
          <w:p w14:paraId="51A0AFF9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 § 108 i Serviceloven.</w:t>
            </w:r>
          </w:p>
          <w:p w14:paraId="1C8BBC06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3B6741C9" w14:textId="77777777" w:rsidTr="00FC3072">
        <w:tc>
          <w:tcPr>
            <w:tcW w:w="3189" w:type="dxa"/>
          </w:tcPr>
          <w:p w14:paraId="4F544167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Hvilket behov dækker ydel</w:t>
            </w:r>
            <w:r w:rsidRPr="00F556E3">
              <w:rPr>
                <w:rFonts w:ascii="Arial" w:hAnsi="Arial" w:cs="Arial"/>
              </w:rPr>
              <w:softHyphen/>
              <w:t>sen?</w:t>
            </w:r>
          </w:p>
        </w:tc>
        <w:tc>
          <w:tcPr>
            <w:tcW w:w="6589" w:type="dxa"/>
          </w:tcPr>
          <w:p w14:paraId="6E5DFAA3" w14:textId="01590E30" w:rsidR="00E95057" w:rsidRPr="00806A04" w:rsidRDefault="00E95057" w:rsidP="00FC3072">
            <w:pPr>
              <w:rPr>
                <w:rFonts w:ascii="Arial" w:hAnsi="Arial" w:cs="Arial"/>
                <w:strike/>
                <w:color w:val="FF0000"/>
              </w:rPr>
            </w:pPr>
            <w:r w:rsidRPr="00F556E3">
              <w:rPr>
                <w:rFonts w:ascii="Arial" w:hAnsi="Arial" w:cs="Arial"/>
              </w:rPr>
              <w:t xml:space="preserve">Længerevarende </w:t>
            </w:r>
            <w:r w:rsidR="00506CB0" w:rsidRPr="00D0735E">
              <w:rPr>
                <w:rFonts w:ascii="Arial" w:hAnsi="Arial" w:cs="Arial"/>
              </w:rPr>
              <w:t>døgn</w:t>
            </w:r>
            <w:r w:rsidRPr="00D0735E">
              <w:rPr>
                <w:rFonts w:ascii="Arial" w:hAnsi="Arial" w:cs="Arial"/>
              </w:rPr>
              <w:t xml:space="preserve">ophold </w:t>
            </w:r>
            <w:r w:rsidR="00806A04" w:rsidRPr="00D0735E">
              <w:rPr>
                <w:rFonts w:ascii="Arial" w:hAnsi="Arial" w:cs="Arial"/>
              </w:rPr>
              <w:t xml:space="preserve">dækker behovet for omfattende hjælp i almindelige daglige funktioner, pleje omsorg eller behandling, som ikke gives på andre måder til </w:t>
            </w:r>
            <w:r w:rsidRPr="00F556E3">
              <w:rPr>
                <w:rFonts w:ascii="Arial" w:hAnsi="Arial" w:cs="Arial"/>
              </w:rPr>
              <w:t>borgere med en betydeligt og varigt nedsat fysisk og psykisk funktionsevn</w:t>
            </w:r>
            <w:r w:rsidR="00D0735E">
              <w:rPr>
                <w:rFonts w:ascii="Arial" w:hAnsi="Arial" w:cs="Arial"/>
              </w:rPr>
              <w:t>e.</w:t>
            </w:r>
          </w:p>
          <w:p w14:paraId="26652079" w14:textId="77777777" w:rsidR="002F54DE" w:rsidRPr="003E37A5" w:rsidRDefault="002F54DE" w:rsidP="00FC3072">
            <w:pPr>
              <w:rPr>
                <w:rFonts w:ascii="Arial" w:hAnsi="Arial" w:cs="Arial"/>
              </w:rPr>
            </w:pPr>
            <w:r w:rsidRPr="003E37A5">
              <w:rPr>
                <w:rFonts w:ascii="Arial" w:hAnsi="Arial" w:cs="Arial"/>
              </w:rPr>
              <w:t>Der kan være tale om borgere med sindslidelser, medfødte hjernesk</w:t>
            </w:r>
            <w:r w:rsidR="00506CB0" w:rsidRPr="003E37A5">
              <w:rPr>
                <w:rFonts w:ascii="Arial" w:hAnsi="Arial" w:cs="Arial"/>
              </w:rPr>
              <w:t xml:space="preserve">ader eller </w:t>
            </w:r>
            <w:proofErr w:type="spellStart"/>
            <w:r w:rsidR="00506CB0" w:rsidRPr="003E37A5">
              <w:rPr>
                <w:rFonts w:ascii="Arial" w:hAnsi="Arial" w:cs="Arial"/>
              </w:rPr>
              <w:t>autismespektrum</w:t>
            </w:r>
            <w:r w:rsidRPr="003E37A5">
              <w:rPr>
                <w:rFonts w:ascii="Arial" w:hAnsi="Arial" w:cs="Arial"/>
              </w:rPr>
              <w:t>forstyrrelser</w:t>
            </w:r>
            <w:proofErr w:type="spellEnd"/>
            <w:r w:rsidR="00506CB0" w:rsidRPr="003E37A5">
              <w:rPr>
                <w:rFonts w:ascii="Arial" w:hAnsi="Arial" w:cs="Arial"/>
              </w:rPr>
              <w:t xml:space="preserve"> m.m.</w:t>
            </w:r>
          </w:p>
          <w:p w14:paraId="109B931C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58AB064A" w14:textId="77777777" w:rsidTr="00FC3072">
        <w:tc>
          <w:tcPr>
            <w:tcW w:w="3189" w:type="dxa"/>
          </w:tcPr>
          <w:p w14:paraId="035380BC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Hvad er formålet med ydel</w:t>
            </w:r>
            <w:r w:rsidRPr="00F556E3">
              <w:rPr>
                <w:rFonts w:ascii="Arial" w:hAnsi="Arial" w:cs="Arial"/>
              </w:rPr>
              <w:softHyphen/>
              <w:t>sen?</w:t>
            </w:r>
          </w:p>
        </w:tc>
        <w:tc>
          <w:tcPr>
            <w:tcW w:w="6589" w:type="dxa"/>
          </w:tcPr>
          <w:p w14:paraId="357E4F11" w14:textId="69E1DFCE" w:rsidR="00E95057" w:rsidRPr="00D0735E" w:rsidRDefault="00E95057" w:rsidP="00FC3072">
            <w:pPr>
              <w:rPr>
                <w:rFonts w:ascii="Arial" w:hAnsi="Arial" w:cs="Arial"/>
              </w:rPr>
            </w:pPr>
            <w:r w:rsidRPr="00D0735E">
              <w:rPr>
                <w:rFonts w:ascii="Arial" w:hAnsi="Arial" w:cs="Arial"/>
              </w:rPr>
              <w:t>Formålet med indsatsen er at tilgodese de særlige behov</w:t>
            </w:r>
            <w:r w:rsidR="00806A04" w:rsidRPr="00D0735E">
              <w:rPr>
                <w:rFonts w:ascii="Arial" w:hAnsi="Arial" w:cs="Arial"/>
              </w:rPr>
              <w:t xml:space="preserve"> for pædagogisk støtte</w:t>
            </w:r>
            <w:r w:rsidRPr="00D0735E">
              <w:rPr>
                <w:rFonts w:ascii="Arial" w:hAnsi="Arial" w:cs="Arial"/>
              </w:rPr>
              <w:t>, som ikke vil kunne dækkes af anden relevant boligform.</w:t>
            </w:r>
          </w:p>
          <w:p w14:paraId="49ABFD71" w14:textId="77777777" w:rsidR="00E95057" w:rsidRPr="00F556E3" w:rsidRDefault="00E95057" w:rsidP="00E9505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At vedligeholde og udvikle færdigheder, individuelle kompetencer og </w:t>
            </w:r>
            <w:proofErr w:type="spellStart"/>
            <w:r w:rsidRPr="00F556E3">
              <w:rPr>
                <w:rFonts w:ascii="Arial" w:hAnsi="Arial" w:cs="Arial"/>
              </w:rPr>
              <w:t>selvhjulpenhed</w:t>
            </w:r>
            <w:proofErr w:type="spellEnd"/>
          </w:p>
          <w:p w14:paraId="6626C6B8" w14:textId="77777777" w:rsidR="00E95057" w:rsidRPr="00F556E3" w:rsidRDefault="00E95057" w:rsidP="00E9505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At forebygge sociale problemstillinger</w:t>
            </w:r>
          </w:p>
          <w:p w14:paraId="78A2658B" w14:textId="77777777" w:rsidR="00E95057" w:rsidRPr="00F556E3" w:rsidRDefault="00E95057" w:rsidP="00E9505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At opøve færdigheder, som kompenserer for den nedsatte funktionsevne</w:t>
            </w:r>
          </w:p>
          <w:p w14:paraId="73B3ED7F" w14:textId="77777777" w:rsidR="00E95057" w:rsidRPr="00F556E3" w:rsidRDefault="00E95057" w:rsidP="00D073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E95057" w:rsidRPr="00F556E3" w14:paraId="0A9D73ED" w14:textId="77777777" w:rsidTr="00FC3072">
        <w:tc>
          <w:tcPr>
            <w:tcW w:w="3189" w:type="dxa"/>
          </w:tcPr>
          <w:p w14:paraId="341D271D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Hvilke aktiviteter indgår i ydel</w:t>
            </w:r>
            <w:r w:rsidRPr="00F556E3">
              <w:rPr>
                <w:rFonts w:ascii="Arial" w:hAnsi="Arial" w:cs="Arial"/>
              </w:rPr>
              <w:softHyphen/>
              <w:t>sen?</w:t>
            </w:r>
          </w:p>
          <w:p w14:paraId="5D726265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  <w:tc>
          <w:tcPr>
            <w:tcW w:w="6589" w:type="dxa"/>
          </w:tcPr>
          <w:p w14:paraId="083594E3" w14:textId="2FA7467D" w:rsidR="00D35C89" w:rsidRPr="003E37A5" w:rsidRDefault="00E95057" w:rsidP="003E37A5">
            <w:pPr>
              <w:rPr>
                <w:rFonts w:ascii="Arial" w:hAnsi="Arial" w:cs="Arial"/>
              </w:rPr>
            </w:pPr>
            <w:r w:rsidRPr="003E37A5">
              <w:rPr>
                <w:rFonts w:ascii="Arial" w:hAnsi="Arial" w:cs="Arial"/>
              </w:rPr>
              <w:t>Længerevarende boform med individuelle aktiviteter for borgeren</w:t>
            </w:r>
            <w:r w:rsidR="00B062E7" w:rsidRPr="003E37A5">
              <w:rPr>
                <w:rFonts w:ascii="Arial" w:hAnsi="Arial" w:cs="Arial"/>
              </w:rPr>
              <w:t xml:space="preserve">. </w:t>
            </w:r>
            <w:r w:rsidRPr="003E37A5">
              <w:rPr>
                <w:rFonts w:ascii="Arial" w:hAnsi="Arial" w:cs="Arial"/>
              </w:rPr>
              <w:t xml:space="preserve">Vedr. ferie </w:t>
            </w:r>
            <w:r w:rsidR="000E5EBB" w:rsidRPr="003E37A5">
              <w:rPr>
                <w:rFonts w:ascii="Arial" w:hAnsi="Arial" w:cs="Arial"/>
              </w:rPr>
              <w:t xml:space="preserve">fælles </w:t>
            </w:r>
            <w:r w:rsidRPr="003E37A5">
              <w:rPr>
                <w:rFonts w:ascii="Arial" w:hAnsi="Arial" w:cs="Arial"/>
              </w:rPr>
              <w:t xml:space="preserve">tilbydes beboere i døgntilbud </w:t>
            </w:r>
            <w:r w:rsidRPr="003E37A5">
              <w:rPr>
                <w:rFonts w:ascii="Arial" w:hAnsi="Arial" w:cs="Arial"/>
                <w:b/>
              </w:rPr>
              <w:t xml:space="preserve">op til </w:t>
            </w:r>
            <w:r w:rsidR="00C5770E" w:rsidRPr="003E37A5">
              <w:rPr>
                <w:rFonts w:ascii="Arial" w:hAnsi="Arial" w:cs="Arial"/>
                <w:b/>
              </w:rPr>
              <w:t>5</w:t>
            </w:r>
            <w:r w:rsidRPr="003E37A5">
              <w:rPr>
                <w:rFonts w:ascii="Arial" w:hAnsi="Arial" w:cs="Arial"/>
                <w:b/>
              </w:rPr>
              <w:t xml:space="preserve"> dage</w:t>
            </w:r>
            <w:r w:rsidR="00022889" w:rsidRPr="003E37A5">
              <w:rPr>
                <w:rFonts w:ascii="Arial" w:hAnsi="Arial" w:cs="Arial"/>
                <w:b/>
              </w:rPr>
              <w:t xml:space="preserve"> </w:t>
            </w:r>
            <w:r w:rsidR="009625A4" w:rsidRPr="003E37A5">
              <w:rPr>
                <w:rFonts w:ascii="Arial" w:hAnsi="Arial" w:cs="Arial"/>
                <w:b/>
              </w:rPr>
              <w:t>i Danmark</w:t>
            </w:r>
            <w:r w:rsidR="00D0735E">
              <w:rPr>
                <w:rFonts w:ascii="Arial" w:hAnsi="Arial" w:cs="Arial"/>
                <w:b/>
              </w:rPr>
              <w:t xml:space="preserve"> </w:t>
            </w:r>
            <w:r w:rsidRPr="003E37A5">
              <w:rPr>
                <w:rFonts w:ascii="Arial" w:hAnsi="Arial" w:cs="Arial"/>
              </w:rPr>
              <w:t>om året</w:t>
            </w:r>
            <w:r w:rsidR="00B062E7" w:rsidRPr="003E37A5">
              <w:rPr>
                <w:rFonts w:ascii="Arial" w:hAnsi="Arial" w:cs="Arial"/>
              </w:rPr>
              <w:t>. Vordingborg</w:t>
            </w:r>
            <w:r w:rsidRPr="003E37A5">
              <w:rPr>
                <w:rFonts w:ascii="Arial" w:hAnsi="Arial" w:cs="Arial"/>
              </w:rPr>
              <w:t xml:space="preserve"> </w:t>
            </w:r>
            <w:r w:rsidR="00B062E7" w:rsidRPr="003E37A5">
              <w:rPr>
                <w:rFonts w:ascii="Arial" w:hAnsi="Arial" w:cs="Arial"/>
              </w:rPr>
              <w:t xml:space="preserve">Kommune betaler </w:t>
            </w:r>
            <w:r w:rsidRPr="003E37A5">
              <w:rPr>
                <w:rFonts w:ascii="Arial" w:hAnsi="Arial" w:cs="Arial"/>
              </w:rPr>
              <w:t>udgifter til personale, såsom løn, kost, logi samt de transportudgifter, som har fordret en særlig billet.</w:t>
            </w:r>
            <w:r w:rsidR="00AC6F1B" w:rsidRPr="003E37A5">
              <w:rPr>
                <w:rFonts w:ascii="Arial" w:hAnsi="Arial" w:cs="Arial"/>
              </w:rPr>
              <w:t xml:space="preserve"> Denne udgift er allerede indregnet i botilbuddets takst.</w:t>
            </w:r>
          </w:p>
        </w:tc>
      </w:tr>
      <w:tr w:rsidR="00E95057" w:rsidRPr="00F556E3" w14:paraId="043CB822" w14:textId="77777777" w:rsidTr="00FC3072">
        <w:tc>
          <w:tcPr>
            <w:tcW w:w="3189" w:type="dxa"/>
          </w:tcPr>
          <w:p w14:paraId="55750C0F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Hvilke aktiviteter indgår ikke i ydelsen?</w:t>
            </w:r>
          </w:p>
          <w:p w14:paraId="065C87CD" w14:textId="77777777" w:rsidR="00E95057" w:rsidRPr="00F556E3" w:rsidRDefault="00E95057" w:rsidP="00FC3072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6589" w:type="dxa"/>
          </w:tcPr>
          <w:p w14:paraId="26D2699D" w14:textId="251CB677" w:rsidR="00E95057" w:rsidRPr="003E37A5" w:rsidRDefault="00E95057" w:rsidP="00FC3072">
            <w:pPr>
              <w:rPr>
                <w:rFonts w:ascii="Arial" w:hAnsi="Arial" w:cs="Arial"/>
              </w:rPr>
            </w:pPr>
            <w:r w:rsidRPr="003E37A5">
              <w:rPr>
                <w:rFonts w:ascii="Arial" w:hAnsi="Arial" w:cs="Arial"/>
              </w:rPr>
              <w:t xml:space="preserve">Ferie med ledsagelse ud over </w:t>
            </w:r>
            <w:r w:rsidR="00C5770E" w:rsidRPr="003E37A5">
              <w:rPr>
                <w:rFonts w:ascii="Arial" w:hAnsi="Arial" w:cs="Arial"/>
                <w:b/>
              </w:rPr>
              <w:t>5</w:t>
            </w:r>
            <w:r w:rsidRPr="003E37A5">
              <w:rPr>
                <w:rFonts w:ascii="Arial" w:hAnsi="Arial" w:cs="Arial"/>
                <w:b/>
              </w:rPr>
              <w:t xml:space="preserve"> dage</w:t>
            </w:r>
            <w:r w:rsidR="003E37A5">
              <w:rPr>
                <w:rFonts w:ascii="Arial" w:hAnsi="Arial" w:cs="Arial"/>
                <w:b/>
              </w:rPr>
              <w:t xml:space="preserve"> </w:t>
            </w:r>
            <w:r w:rsidRPr="003E37A5">
              <w:rPr>
                <w:rFonts w:ascii="Arial" w:hAnsi="Arial" w:cs="Arial"/>
              </w:rPr>
              <w:t>med kommunal betaling af udgifter til personale, såsom løn, kost, logi samt de transportudgifter, som har fordret en særlig billet.</w:t>
            </w:r>
          </w:p>
          <w:p w14:paraId="712A70F7" w14:textId="77777777" w:rsidR="00E95057" w:rsidRPr="003E37A5" w:rsidRDefault="00E95057" w:rsidP="003E37A5">
            <w:pPr>
              <w:rPr>
                <w:rFonts w:ascii="Arial" w:hAnsi="Arial" w:cs="Arial"/>
              </w:rPr>
            </w:pPr>
            <w:r w:rsidRPr="003E37A5">
              <w:rPr>
                <w:rFonts w:ascii="Arial" w:hAnsi="Arial" w:cs="Arial"/>
              </w:rPr>
              <w:t xml:space="preserve">Her henvises til </w:t>
            </w:r>
            <w:r w:rsidR="009625A4" w:rsidRPr="003E37A5">
              <w:rPr>
                <w:rFonts w:ascii="Arial" w:hAnsi="Arial" w:cs="Arial"/>
              </w:rPr>
              <w:t xml:space="preserve">Vordingborg Kommunes </w:t>
            </w:r>
            <w:r w:rsidRPr="003E37A5">
              <w:rPr>
                <w:rFonts w:ascii="Arial" w:hAnsi="Arial" w:cs="Arial"/>
              </w:rPr>
              <w:t>Serviceinformation og retningslinjer for Tilkøb af socialpædagogisk ledsagelse under ferie</w:t>
            </w:r>
          </w:p>
        </w:tc>
      </w:tr>
      <w:tr w:rsidR="00E95057" w:rsidRPr="00F556E3" w14:paraId="36238766" w14:textId="77777777" w:rsidTr="00FC3072">
        <w:tc>
          <w:tcPr>
            <w:tcW w:w="3189" w:type="dxa"/>
          </w:tcPr>
          <w:p w14:paraId="2870A255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Hvem kan modtage ydel</w:t>
            </w:r>
            <w:r w:rsidRPr="00F556E3">
              <w:rPr>
                <w:rFonts w:ascii="Arial" w:hAnsi="Arial" w:cs="Arial"/>
              </w:rPr>
              <w:softHyphen/>
              <w:t>sen?</w:t>
            </w:r>
          </w:p>
        </w:tc>
        <w:tc>
          <w:tcPr>
            <w:tcW w:w="6589" w:type="dxa"/>
          </w:tcPr>
          <w:p w14:paraId="04105047" w14:textId="77777777" w:rsidR="00E95057" w:rsidRPr="00F556E3" w:rsidRDefault="00E95057" w:rsidP="00E95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Borgere der ikke kan klare sig uden personalestøtte i en stor del af døgnets timer, grundet deres varige funktionsnedsættelse.</w:t>
            </w:r>
          </w:p>
          <w:p w14:paraId="00E46C85" w14:textId="77777777" w:rsidR="00E95057" w:rsidRPr="00F556E3" w:rsidRDefault="00E95057" w:rsidP="00E9505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Borgere der skal have omfattende hjælp til at opfylde basale behov. </w:t>
            </w:r>
          </w:p>
          <w:p w14:paraId="5623CAAF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192AA7D2" w14:textId="77777777" w:rsidTr="00FC3072">
        <w:tc>
          <w:tcPr>
            <w:tcW w:w="3189" w:type="dxa"/>
          </w:tcPr>
          <w:p w14:paraId="0C0E219C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Ydelsens omfang?</w:t>
            </w:r>
          </w:p>
        </w:tc>
        <w:tc>
          <w:tcPr>
            <w:tcW w:w="6589" w:type="dxa"/>
          </w:tcPr>
          <w:p w14:paraId="152C1113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Døgndækning </w:t>
            </w:r>
          </w:p>
          <w:p w14:paraId="5697D09B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469B2E87" w14:textId="77777777" w:rsidTr="00FC3072">
        <w:tc>
          <w:tcPr>
            <w:tcW w:w="3189" w:type="dxa"/>
          </w:tcPr>
          <w:p w14:paraId="1474F124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lastRenderedPageBreak/>
              <w:t>Er der valgmulighed med hen</w:t>
            </w:r>
            <w:r w:rsidRPr="00F556E3">
              <w:rPr>
                <w:rFonts w:ascii="Arial" w:hAnsi="Arial" w:cs="Arial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6553C15A" w14:textId="77777777" w:rsidR="00E95057" w:rsidRPr="00F556E3" w:rsidRDefault="00E95057" w:rsidP="00E95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Ud fra et nærhedsprincip tilbydes borgere et tilbud i Vordingborg Kommune</w:t>
            </w:r>
          </w:p>
          <w:p w14:paraId="592D7A47" w14:textId="77777777" w:rsidR="00E95057" w:rsidRPr="00F556E3" w:rsidRDefault="00E95057" w:rsidP="00E95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Alle tilbud skal fremgå af Tilbudsportalen</w:t>
            </w:r>
          </w:p>
          <w:p w14:paraId="40B8D4CD" w14:textId="3F47FCA8" w:rsidR="00E95057" w:rsidRPr="00F556E3" w:rsidRDefault="00E95057" w:rsidP="00E95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Jf.</w:t>
            </w:r>
            <w:r w:rsidR="000E2E55">
              <w:rPr>
                <w:rFonts w:ascii="Arial" w:hAnsi="Arial" w:cs="Arial"/>
              </w:rPr>
              <w:t xml:space="preserve"> </w:t>
            </w:r>
            <w:r w:rsidR="003A64F7" w:rsidRPr="00D0735E">
              <w:rPr>
                <w:rFonts w:ascii="Arial" w:hAnsi="Arial" w:cs="Arial"/>
              </w:rPr>
              <w:t xml:space="preserve">Serviceloven </w:t>
            </w:r>
            <w:r w:rsidRPr="00D0735E">
              <w:rPr>
                <w:rFonts w:ascii="Arial" w:hAnsi="Arial" w:cs="Arial"/>
              </w:rPr>
              <w:t xml:space="preserve">§ 108 </w:t>
            </w:r>
            <w:r w:rsidRPr="00F556E3">
              <w:rPr>
                <w:rFonts w:ascii="Arial" w:hAnsi="Arial" w:cs="Arial"/>
              </w:rPr>
              <w:t xml:space="preserve">stk. 2 har borger ret til at vælge et tilsvarende tilbud i en anden kommune </w:t>
            </w:r>
          </w:p>
          <w:p w14:paraId="0DC8A29A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  <w:p w14:paraId="6512B786" w14:textId="77777777" w:rsidR="00E95057" w:rsidRPr="00F556E3" w:rsidRDefault="00E95057" w:rsidP="00E9505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Tilsvarende tilbud skal opfylde krav til Vordingborg Kommunes bevilgede tilbud om hjælp, støtte og udvikling til borgeren</w:t>
            </w:r>
          </w:p>
          <w:p w14:paraId="5541432B" w14:textId="44306F08" w:rsidR="003A64F7" w:rsidRPr="00D0735E" w:rsidRDefault="003A64F7" w:rsidP="003A64F7">
            <w:pPr>
              <w:numPr>
                <w:ilvl w:val="0"/>
                <w:numId w:val="4"/>
              </w:numPr>
              <w:tabs>
                <w:tab w:val="num" w:pos="1126"/>
              </w:tabs>
              <w:spacing w:after="0" w:line="240" w:lineRule="auto"/>
              <w:ind w:left="842" w:hanging="425"/>
              <w:rPr>
                <w:rFonts w:ascii="Arial" w:hAnsi="Arial" w:cs="Arial"/>
                <w:strike/>
              </w:rPr>
            </w:pPr>
            <w:r w:rsidRPr="00F556E3">
              <w:rPr>
                <w:rFonts w:ascii="Arial" w:hAnsi="Arial" w:cs="Arial"/>
              </w:rPr>
              <w:t xml:space="preserve">Tilbuddet er ikke tilsvarende, hvis der er tale om en væsentlig merudgift i </w:t>
            </w:r>
            <w:r w:rsidRPr="00D0735E">
              <w:rPr>
                <w:rFonts w:ascii="Arial" w:hAnsi="Arial" w:cs="Arial"/>
              </w:rPr>
              <w:t>forhold til andre botilbud der kan levere den samme ydelse.</w:t>
            </w:r>
          </w:p>
          <w:p w14:paraId="115A0C6B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65580394" w14:textId="77777777" w:rsidTr="00FC3072">
        <w:tc>
          <w:tcPr>
            <w:tcW w:w="3189" w:type="dxa"/>
          </w:tcPr>
          <w:p w14:paraId="4A54B9B9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Hvem leverer ydelsen?</w:t>
            </w:r>
          </w:p>
        </w:tc>
        <w:tc>
          <w:tcPr>
            <w:tcW w:w="6589" w:type="dxa"/>
          </w:tcPr>
          <w:p w14:paraId="2F65CF64" w14:textId="0785B2BA" w:rsidR="00E95057" w:rsidRPr="003E37A5" w:rsidRDefault="00806A04" w:rsidP="00FC3072">
            <w:pPr>
              <w:rPr>
                <w:rFonts w:ascii="Arial" w:hAnsi="Arial" w:cs="Arial"/>
              </w:rPr>
            </w:pPr>
            <w:r w:rsidRPr="00D0735E">
              <w:rPr>
                <w:rFonts w:ascii="Arial" w:hAnsi="Arial" w:cs="Arial"/>
              </w:rPr>
              <w:t xml:space="preserve">Center for Psykiatri og handicap </w:t>
            </w:r>
            <w:r w:rsidR="002F54DE" w:rsidRPr="00D0735E">
              <w:rPr>
                <w:rFonts w:ascii="Arial" w:hAnsi="Arial" w:cs="Arial"/>
              </w:rPr>
              <w:t xml:space="preserve">eller </w:t>
            </w:r>
            <w:r w:rsidR="002F54DE" w:rsidRPr="003E37A5">
              <w:rPr>
                <w:rFonts w:ascii="Arial" w:hAnsi="Arial" w:cs="Arial"/>
              </w:rPr>
              <w:t>anden godkendt leverandør</w:t>
            </w:r>
            <w:r w:rsidR="003E37A5" w:rsidRPr="003E37A5">
              <w:rPr>
                <w:rFonts w:ascii="Arial" w:hAnsi="Arial" w:cs="Arial"/>
              </w:rPr>
              <w:t xml:space="preserve"> </w:t>
            </w:r>
          </w:p>
          <w:p w14:paraId="6FD1F95B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54E32838" w14:textId="77777777" w:rsidTr="00FC3072">
        <w:trPr>
          <w:trHeight w:val="145"/>
        </w:trPr>
        <w:tc>
          <w:tcPr>
            <w:tcW w:w="3189" w:type="dxa"/>
          </w:tcPr>
          <w:p w14:paraId="7C8E37C7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Krav til udføreren?</w:t>
            </w:r>
          </w:p>
        </w:tc>
        <w:tc>
          <w:tcPr>
            <w:tcW w:w="6589" w:type="dxa"/>
          </w:tcPr>
          <w:p w14:paraId="76FEC686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Leverandøren skal tilrettelægge støtten således</w:t>
            </w:r>
            <w:r w:rsidR="002F54DE">
              <w:rPr>
                <w:rFonts w:ascii="Arial" w:hAnsi="Arial" w:cs="Arial"/>
              </w:rPr>
              <w:t>,</w:t>
            </w:r>
            <w:r w:rsidRPr="00F556E3">
              <w:rPr>
                <w:rFonts w:ascii="Arial" w:hAnsi="Arial" w:cs="Arial"/>
              </w:rPr>
              <w:t xml:space="preserve"> at borgeren kan opbygge og bevare en relation til de medarbejdere, der udfører indsatsen.</w:t>
            </w:r>
          </w:p>
          <w:p w14:paraId="2712FEFD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Der skal være et kollegialt fagligt miljø med faglig udvikling, erfaringsopsamling, supervision og løbende efteruddannelse.</w:t>
            </w:r>
          </w:p>
          <w:p w14:paraId="1ECCF093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Medarbejderne skal leve op til Vordingborg Kommunes værdigrundlag i mødet med borgeren.</w:t>
            </w:r>
          </w:p>
          <w:p w14:paraId="373607E0" w14:textId="104C13A1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Leverandøren har pligt til at </w:t>
            </w:r>
            <w:r w:rsidRPr="00D0735E">
              <w:rPr>
                <w:rFonts w:ascii="Arial" w:hAnsi="Arial" w:cs="Arial"/>
              </w:rPr>
              <w:t xml:space="preserve">meddele </w:t>
            </w:r>
            <w:r w:rsidR="00806A04" w:rsidRPr="00D0735E">
              <w:rPr>
                <w:rFonts w:ascii="Arial" w:hAnsi="Arial" w:cs="Arial"/>
              </w:rPr>
              <w:t xml:space="preserve">sagsbehandler, </w:t>
            </w:r>
            <w:r w:rsidRPr="00F556E3">
              <w:rPr>
                <w:rFonts w:ascii="Arial" w:hAnsi="Arial" w:cs="Arial"/>
              </w:rPr>
              <w:t>hvis der sker væsentlige ændringer i borgers funktionsevne.</w:t>
            </w:r>
          </w:p>
          <w:p w14:paraId="2ED8F95D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423143FE" w14:textId="77777777" w:rsidTr="00FC3072">
        <w:tc>
          <w:tcPr>
            <w:tcW w:w="3189" w:type="dxa"/>
          </w:tcPr>
          <w:p w14:paraId="4E9F2B31" w14:textId="77BE5D10" w:rsidR="00E95057" w:rsidRPr="003A64F7" w:rsidRDefault="00E95057" w:rsidP="003A64F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Hvad koster ydelsen for bor</w:t>
            </w:r>
            <w:r w:rsidRPr="00F556E3">
              <w:rPr>
                <w:rFonts w:ascii="Arial" w:hAnsi="Arial" w:cs="Arial"/>
              </w:rPr>
              <w:softHyphen/>
              <w:t>geren?</w:t>
            </w:r>
          </w:p>
        </w:tc>
        <w:tc>
          <w:tcPr>
            <w:tcW w:w="6589" w:type="dxa"/>
          </w:tcPr>
          <w:p w14:paraId="4B48C819" w14:textId="7CC94E81" w:rsidR="003A64F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Egenbetaling ud fra individuel beregning</w:t>
            </w:r>
            <w:r w:rsidR="003A64F7">
              <w:rPr>
                <w:rFonts w:ascii="Arial" w:hAnsi="Arial" w:cs="Arial"/>
              </w:rPr>
              <w:t xml:space="preserve">. Beregningen er beskrevet i loven. </w:t>
            </w:r>
          </w:p>
        </w:tc>
      </w:tr>
      <w:tr w:rsidR="00E95057" w:rsidRPr="00F556E3" w14:paraId="3EF1813E" w14:textId="77777777" w:rsidTr="00FC3072">
        <w:tc>
          <w:tcPr>
            <w:tcW w:w="3189" w:type="dxa"/>
          </w:tcPr>
          <w:p w14:paraId="770A4A1A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Hvad er kommunens kva</w:t>
            </w:r>
            <w:r w:rsidRPr="00F556E3">
              <w:rPr>
                <w:rFonts w:ascii="Arial" w:hAnsi="Arial" w:cs="Arial"/>
              </w:rPr>
              <w:softHyphen/>
              <w:t>li</w:t>
            </w:r>
            <w:r w:rsidRPr="00F556E3">
              <w:rPr>
                <w:rFonts w:ascii="Arial" w:hAnsi="Arial" w:cs="Arial"/>
              </w:rPr>
              <w:softHyphen/>
              <w:t>tetsmål?</w:t>
            </w:r>
          </w:p>
        </w:tc>
        <w:tc>
          <w:tcPr>
            <w:tcW w:w="6589" w:type="dxa"/>
          </w:tcPr>
          <w:p w14:paraId="60C9B7B0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Borgere med ovennævnte problemstillinger tilbydes en hverdag hvor borgerens særlige behov for omfattende støtte og hjælp tilgodeses.</w:t>
            </w:r>
          </w:p>
          <w:p w14:paraId="3598B8AC" w14:textId="5091C076" w:rsidR="00E95057" w:rsidRPr="00F556E3" w:rsidRDefault="00806A04" w:rsidP="00806A04">
            <w:pPr>
              <w:tabs>
                <w:tab w:val="left" w:pos="1304"/>
                <w:tab w:val="center" w:pos="4819"/>
                <w:tab w:val="right" w:pos="9638"/>
              </w:tabs>
              <w:spacing w:line="240" w:lineRule="auto"/>
              <w:rPr>
                <w:rFonts w:ascii="Arial" w:hAnsi="Arial" w:cs="Arial"/>
              </w:rPr>
            </w:pPr>
            <w:r w:rsidRPr="00D0735E">
              <w:rPr>
                <w:rFonts w:ascii="Arial" w:eastAsia="Times New Roman" w:hAnsi="Arial" w:cs="Arial"/>
              </w:rPr>
              <w:t xml:space="preserve">Du finder den forventet sagsbehandlingsfrist på Vordingborg kommunes hjemmeside: </w:t>
            </w:r>
            <w:hyperlink r:id="rId7" w:history="1">
              <w:r w:rsidRPr="00445F57">
                <w:rPr>
                  <w:rStyle w:val="Hyperlink"/>
                  <w:rFonts w:ascii="Arial" w:eastAsia="Times New Roman" w:hAnsi="Arial" w:cs="Arial"/>
                </w:rPr>
                <w:t>Vælg Kommunen og derefter Svarfrister</w:t>
              </w:r>
            </w:hyperlink>
          </w:p>
        </w:tc>
      </w:tr>
      <w:tr w:rsidR="00E95057" w:rsidRPr="00F556E3" w14:paraId="3B850C5F" w14:textId="77777777" w:rsidTr="00FC3072">
        <w:tc>
          <w:tcPr>
            <w:tcW w:w="3189" w:type="dxa"/>
          </w:tcPr>
          <w:p w14:paraId="51F7EA6F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Hvordan følges op på ydel</w:t>
            </w:r>
            <w:r w:rsidRPr="00F556E3">
              <w:rPr>
                <w:rFonts w:ascii="Arial" w:hAnsi="Arial" w:cs="Arial"/>
              </w:rPr>
              <w:softHyphen/>
              <w:t>sen?</w:t>
            </w:r>
          </w:p>
        </w:tc>
        <w:tc>
          <w:tcPr>
            <w:tcW w:w="6589" w:type="dxa"/>
          </w:tcPr>
          <w:p w14:paraId="4FC7B55A" w14:textId="30DFABF6" w:rsidR="00E95057" w:rsidRPr="00F556E3" w:rsidRDefault="00E95057" w:rsidP="00D0735E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 xml:space="preserve">Effekten af indsatsen vurderes </w:t>
            </w:r>
            <w:r w:rsidRPr="00D0735E">
              <w:rPr>
                <w:rFonts w:ascii="Arial" w:hAnsi="Arial" w:cs="Arial"/>
              </w:rPr>
              <w:t xml:space="preserve">af </w:t>
            </w:r>
            <w:r w:rsidR="00806A04" w:rsidRPr="00D0735E">
              <w:rPr>
                <w:rFonts w:ascii="Arial" w:hAnsi="Arial" w:cs="Arial"/>
              </w:rPr>
              <w:t>en sagsbehandler</w:t>
            </w:r>
            <w:r w:rsidRPr="00D0735E">
              <w:rPr>
                <w:rFonts w:ascii="Arial" w:hAnsi="Arial" w:cs="Arial"/>
              </w:rPr>
              <w:t xml:space="preserve">, </w:t>
            </w:r>
            <w:r w:rsidRPr="00F556E3">
              <w:rPr>
                <w:rFonts w:ascii="Arial" w:hAnsi="Arial" w:cs="Arial"/>
              </w:rPr>
              <w:t>borger og botilbud efter behov med udgangspunkt i indsatsmål.</w:t>
            </w:r>
          </w:p>
        </w:tc>
      </w:tr>
      <w:tr w:rsidR="00E95057" w:rsidRPr="00F556E3" w14:paraId="60AA0B10" w14:textId="77777777" w:rsidTr="00FC3072">
        <w:tc>
          <w:tcPr>
            <w:tcW w:w="3189" w:type="dxa"/>
          </w:tcPr>
          <w:p w14:paraId="7A3867B5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lastRenderedPageBreak/>
              <w:t>Brugerundersøgelse?</w:t>
            </w:r>
          </w:p>
        </w:tc>
        <w:tc>
          <w:tcPr>
            <w:tcW w:w="6589" w:type="dxa"/>
          </w:tcPr>
          <w:p w14:paraId="60EF8ABB" w14:textId="77777777" w:rsidR="00E95057" w:rsidRPr="00F556E3" w:rsidRDefault="00C5770E" w:rsidP="00E95057">
            <w:pPr>
              <w:rPr>
                <w:rFonts w:ascii="Arial" w:hAnsi="Arial" w:cs="Arial"/>
              </w:rPr>
            </w:pPr>
            <w:r w:rsidRPr="00C5770E">
              <w:rPr>
                <w:rFonts w:ascii="Arial" w:hAnsi="Arial" w:cs="Arial"/>
                <w:color w:val="000000" w:themeColor="text1"/>
              </w:rPr>
              <w:t>Ja</w:t>
            </w:r>
          </w:p>
        </w:tc>
      </w:tr>
      <w:tr w:rsidR="00E95057" w:rsidRPr="00F556E3" w14:paraId="53819CF9" w14:textId="77777777" w:rsidTr="00FC3072">
        <w:trPr>
          <w:trHeight w:val="457"/>
        </w:trPr>
        <w:tc>
          <w:tcPr>
            <w:tcW w:w="3189" w:type="dxa"/>
          </w:tcPr>
          <w:p w14:paraId="76774A90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Er der særlige forhold at ta</w:t>
            </w:r>
            <w:r w:rsidRPr="00F556E3">
              <w:rPr>
                <w:rFonts w:ascii="Arial" w:hAnsi="Arial" w:cs="Arial"/>
              </w:rPr>
              <w:softHyphen/>
              <w:t>ge hensyn til?</w:t>
            </w:r>
          </w:p>
        </w:tc>
        <w:tc>
          <w:tcPr>
            <w:tcW w:w="6589" w:type="dxa"/>
          </w:tcPr>
          <w:p w14:paraId="597469C7" w14:textId="77777777" w:rsidR="00E95057" w:rsidRPr="00F556E3" w:rsidRDefault="00E95057" w:rsidP="00FC3072">
            <w:pPr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Vordingborg Kommune ønsker at skabe og tilrette eksisterende botilbud, således at de er tilpasset efterspørgsel og samfundsudvikling.</w:t>
            </w:r>
          </w:p>
          <w:p w14:paraId="620ACDAF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  <w:tr w:rsidR="00E95057" w:rsidRPr="00F556E3" w14:paraId="1ED6AFA9" w14:textId="77777777" w:rsidTr="00FC3072">
        <w:tc>
          <w:tcPr>
            <w:tcW w:w="3189" w:type="dxa"/>
          </w:tcPr>
          <w:p w14:paraId="2E6FD39A" w14:textId="77777777" w:rsidR="00E95057" w:rsidRPr="00F556E3" w:rsidRDefault="00E95057" w:rsidP="00E95057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540"/>
              <w:rPr>
                <w:rFonts w:ascii="Arial" w:hAnsi="Arial" w:cs="Arial"/>
              </w:rPr>
            </w:pPr>
            <w:r w:rsidRPr="00F556E3">
              <w:rPr>
                <w:rFonts w:ascii="Arial" w:hAnsi="Arial" w:cs="Arial"/>
              </w:rPr>
              <w:t>Hvilke klagemuligheder er der?</w:t>
            </w:r>
          </w:p>
        </w:tc>
        <w:tc>
          <w:tcPr>
            <w:tcW w:w="6589" w:type="dxa"/>
          </w:tcPr>
          <w:p w14:paraId="131577F1" w14:textId="77777777" w:rsidR="00E95057" w:rsidRPr="00F556E3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F556E3">
              <w:rPr>
                <w:rFonts w:ascii="Arial" w:hAnsi="Arial" w:cs="Arial"/>
                <w:color w:val="auto"/>
              </w:rPr>
              <w:t xml:space="preserve">Hvis du ikke er enig i afgørelsen, har du mulighed for at klage. </w:t>
            </w:r>
          </w:p>
          <w:p w14:paraId="39A7067C" w14:textId="77777777" w:rsidR="00E95057" w:rsidRPr="00F556E3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F556E3">
              <w:rPr>
                <w:rFonts w:ascii="Arial" w:hAnsi="Arial" w:cs="Arial"/>
                <w:color w:val="auto"/>
              </w:rPr>
              <w:t>Din klage skal være modtaget indenfor almindelig kontortid senest 4 uger efter, at du har modtaget afgørelsen.</w:t>
            </w:r>
          </w:p>
          <w:p w14:paraId="57B083C9" w14:textId="77777777" w:rsidR="00E95057" w:rsidRPr="00F556E3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29BC8D76" w14:textId="0FD4BA90" w:rsidR="00E95057" w:rsidRPr="00D0735E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F556E3">
              <w:rPr>
                <w:rFonts w:ascii="Arial" w:hAnsi="Arial" w:cs="Arial"/>
                <w:color w:val="auto"/>
              </w:rPr>
              <w:t xml:space="preserve">Hvis du klager skriftligt, skal du sende din klage til Vordingborg </w:t>
            </w:r>
            <w:r w:rsidRPr="00D0735E">
              <w:rPr>
                <w:rFonts w:ascii="Arial" w:hAnsi="Arial" w:cs="Arial"/>
                <w:color w:val="auto"/>
              </w:rPr>
              <w:t xml:space="preserve">Kommune, </w:t>
            </w:r>
            <w:r w:rsidR="00806A04" w:rsidRPr="00D0735E">
              <w:rPr>
                <w:rFonts w:ascii="Arial" w:hAnsi="Arial" w:cs="Arial"/>
                <w:color w:val="auto"/>
              </w:rPr>
              <w:t xml:space="preserve">Center </w:t>
            </w:r>
            <w:r w:rsidRPr="00D0735E">
              <w:rPr>
                <w:rFonts w:ascii="Arial" w:hAnsi="Arial" w:cs="Arial"/>
                <w:color w:val="auto"/>
              </w:rPr>
              <w:t>for Psykiatri og Handicap, Valdemarsgade 43, 4760 Vordingborg.</w:t>
            </w:r>
          </w:p>
          <w:p w14:paraId="418BC0BB" w14:textId="77777777" w:rsidR="00E95057" w:rsidRPr="00D0735E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296DB01C" w14:textId="4D223BD5" w:rsidR="00E95057" w:rsidRPr="00D0735E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0735E">
              <w:rPr>
                <w:rFonts w:ascii="Arial" w:hAnsi="Arial" w:cs="Arial"/>
                <w:color w:val="auto"/>
              </w:rPr>
              <w:t xml:space="preserve">Hvis du klager mundtligt, skal du kontakte </w:t>
            </w:r>
            <w:r w:rsidR="00806A04" w:rsidRPr="00D0735E">
              <w:rPr>
                <w:rFonts w:ascii="Arial" w:hAnsi="Arial" w:cs="Arial"/>
                <w:color w:val="auto"/>
              </w:rPr>
              <w:t>Center</w:t>
            </w:r>
            <w:r w:rsidRPr="00D0735E">
              <w:rPr>
                <w:rFonts w:ascii="Arial" w:hAnsi="Arial" w:cs="Arial"/>
                <w:color w:val="auto"/>
              </w:rPr>
              <w:t xml:space="preserve"> for Psykiatri og Handicap på tlf. 55 36 29 </w:t>
            </w:r>
            <w:r w:rsidR="00806A04" w:rsidRPr="00D0735E">
              <w:rPr>
                <w:rFonts w:ascii="Arial" w:hAnsi="Arial" w:cs="Arial"/>
                <w:color w:val="auto"/>
              </w:rPr>
              <w:t>1</w:t>
            </w:r>
            <w:r w:rsidRPr="00D0735E">
              <w:rPr>
                <w:rFonts w:ascii="Arial" w:hAnsi="Arial" w:cs="Arial"/>
                <w:color w:val="auto"/>
              </w:rPr>
              <w:t xml:space="preserve">0. Du vil herefter blive kontaktet af en </w:t>
            </w:r>
            <w:r w:rsidR="00806A04" w:rsidRPr="00D0735E">
              <w:rPr>
                <w:rFonts w:ascii="Arial" w:hAnsi="Arial" w:cs="Arial"/>
                <w:color w:val="auto"/>
              </w:rPr>
              <w:t>sagsbehandler</w:t>
            </w:r>
            <w:r w:rsidRPr="00D0735E">
              <w:rPr>
                <w:rFonts w:ascii="Arial" w:hAnsi="Arial" w:cs="Arial"/>
                <w:color w:val="auto"/>
              </w:rPr>
              <w:t xml:space="preserve">, der vil hjælpe dig med at skrive klagen. </w:t>
            </w:r>
          </w:p>
          <w:p w14:paraId="7009E468" w14:textId="77777777" w:rsidR="00E95057" w:rsidRPr="00D0735E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468C5980" w14:textId="77777777" w:rsidR="00E95057" w:rsidRPr="00F556E3" w:rsidRDefault="00E95057" w:rsidP="00FC3072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0735E">
              <w:rPr>
                <w:rFonts w:ascii="Arial" w:hAnsi="Arial" w:cs="Arial"/>
                <w:color w:val="auto"/>
              </w:rPr>
              <w:t xml:space="preserve">Når din klage er modtaget, vil afgørelsen blive vurderet igen. Hvis vi giver dig helt eller delvist medhold, vil du få besked </w:t>
            </w:r>
            <w:r w:rsidRPr="00F556E3">
              <w:rPr>
                <w:rFonts w:ascii="Arial" w:hAnsi="Arial" w:cs="Arial"/>
                <w:color w:val="auto"/>
              </w:rPr>
              <w:t>indenfor 4 uger. Hvis vi fastholder afgørelsen, vil din klage og sagens akter blive sendt Ankestyrelsen indenfor 4 uger.</w:t>
            </w:r>
          </w:p>
          <w:p w14:paraId="115256C0" w14:textId="77777777" w:rsidR="00E95057" w:rsidRPr="00F556E3" w:rsidRDefault="00E95057" w:rsidP="00FC3072">
            <w:pPr>
              <w:rPr>
                <w:rFonts w:ascii="Arial" w:hAnsi="Arial" w:cs="Arial"/>
              </w:rPr>
            </w:pPr>
          </w:p>
        </w:tc>
      </w:tr>
    </w:tbl>
    <w:p w14:paraId="2D1DAACE" w14:textId="77777777" w:rsidR="00E95057" w:rsidRPr="00F556E3" w:rsidRDefault="00E95057" w:rsidP="00E95057">
      <w:pPr>
        <w:rPr>
          <w:rFonts w:ascii="Arial" w:hAnsi="Arial" w:cs="Arial"/>
        </w:rPr>
      </w:pPr>
    </w:p>
    <w:p w14:paraId="662E7474" w14:textId="77777777" w:rsidR="00E95057" w:rsidRPr="00F556E3" w:rsidRDefault="00E95057" w:rsidP="00E95057">
      <w:pPr>
        <w:rPr>
          <w:rFonts w:ascii="Arial" w:hAnsi="Arial" w:cs="Arial"/>
        </w:rPr>
      </w:pPr>
    </w:p>
    <w:p w14:paraId="1F367B42" w14:textId="77777777" w:rsidR="00AA31AA" w:rsidRDefault="00AA31AA"/>
    <w:sectPr w:rsidR="00AA31AA" w:rsidSect="00537C77">
      <w:headerReference w:type="default" r:id="rId8"/>
      <w:footerReference w:type="default" r:id="rId9"/>
      <w:pgSz w:w="11907" w:h="16840" w:code="9"/>
      <w:pgMar w:top="1701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ABC5" w14:textId="77777777" w:rsidR="00F75C80" w:rsidRDefault="00F75C80" w:rsidP="00E95057">
      <w:pPr>
        <w:spacing w:after="0" w:line="240" w:lineRule="auto"/>
      </w:pPr>
      <w:r>
        <w:separator/>
      </w:r>
    </w:p>
  </w:endnote>
  <w:endnote w:type="continuationSeparator" w:id="0">
    <w:p w14:paraId="3A251EDB" w14:textId="77777777" w:rsidR="00F75C80" w:rsidRDefault="00F75C80" w:rsidP="00E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C8D0" w14:textId="77777777" w:rsidR="00D0735E" w:rsidRDefault="003A64F7" w:rsidP="003A64F7">
    <w:pPr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Godkendt af </w:t>
    </w:r>
    <w:r w:rsidR="00D0735E">
      <w:rPr>
        <w:rFonts w:ascii="Arial" w:hAnsi="Arial" w:cs="Arial"/>
        <w:sz w:val="18"/>
      </w:rPr>
      <w:t>Social- og sundhedsudvalget d. 6. februar 2024</w:t>
    </w:r>
  </w:p>
  <w:p w14:paraId="086AB703" w14:textId="63C63E45" w:rsidR="003A64F7" w:rsidRDefault="003A64F7" w:rsidP="003A64F7">
    <w:pPr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</w:p>
  <w:p w14:paraId="3C6A968F" w14:textId="7433F5D4" w:rsidR="00A22FE3" w:rsidRPr="00F146CB" w:rsidRDefault="008E0D8F" w:rsidP="007769C8">
    <w:pPr>
      <w:pStyle w:val="Sidehoved"/>
      <w:rPr>
        <w:rStyle w:val="Sidetal"/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9625A4" w:rsidRPr="00F146CB">
      <w:rPr>
        <w:rFonts w:ascii="Arial" w:hAnsi="Arial" w:cs="Arial"/>
        <w:sz w:val="20"/>
      </w:rPr>
      <w:t xml:space="preserve">Side </w:t>
    </w:r>
    <w:r w:rsidR="009625A4" w:rsidRPr="00F146CB">
      <w:rPr>
        <w:rStyle w:val="Sidetal"/>
        <w:rFonts w:ascii="Arial" w:hAnsi="Arial" w:cs="Arial"/>
        <w:sz w:val="20"/>
      </w:rPr>
      <w:fldChar w:fldCharType="begin"/>
    </w:r>
    <w:r w:rsidR="009625A4" w:rsidRPr="00F146CB">
      <w:rPr>
        <w:rStyle w:val="Sidetal"/>
        <w:rFonts w:ascii="Arial" w:hAnsi="Arial" w:cs="Arial"/>
        <w:sz w:val="20"/>
      </w:rPr>
      <w:instrText xml:space="preserve"> PAGE </w:instrText>
    </w:r>
    <w:r w:rsidR="009625A4" w:rsidRPr="00F146CB">
      <w:rPr>
        <w:rStyle w:val="Sidetal"/>
        <w:rFonts w:ascii="Arial" w:hAnsi="Arial" w:cs="Arial"/>
        <w:sz w:val="20"/>
      </w:rPr>
      <w:fldChar w:fldCharType="separate"/>
    </w:r>
    <w:r w:rsidR="007E1B69">
      <w:rPr>
        <w:rStyle w:val="Sidetal"/>
        <w:rFonts w:ascii="Arial" w:hAnsi="Arial" w:cs="Arial"/>
        <w:noProof/>
        <w:sz w:val="20"/>
      </w:rPr>
      <w:t>1</w:t>
    </w:r>
    <w:r w:rsidR="009625A4" w:rsidRPr="00F146CB">
      <w:rPr>
        <w:rStyle w:val="Sidetal"/>
        <w:rFonts w:ascii="Arial" w:hAnsi="Arial" w:cs="Arial"/>
        <w:sz w:val="20"/>
      </w:rPr>
      <w:fldChar w:fldCharType="end"/>
    </w:r>
    <w:r w:rsidR="009625A4" w:rsidRPr="00F146CB">
      <w:rPr>
        <w:rStyle w:val="Sidetal"/>
        <w:rFonts w:ascii="Arial" w:hAnsi="Arial" w:cs="Arial"/>
        <w:sz w:val="20"/>
      </w:rPr>
      <w:t>/</w:t>
    </w:r>
    <w:r w:rsidR="009625A4" w:rsidRPr="00F146CB">
      <w:rPr>
        <w:rStyle w:val="Sidetal"/>
        <w:rFonts w:ascii="Arial" w:hAnsi="Arial" w:cs="Arial"/>
        <w:sz w:val="20"/>
      </w:rPr>
      <w:fldChar w:fldCharType="begin"/>
    </w:r>
    <w:r w:rsidR="009625A4" w:rsidRPr="00F146CB">
      <w:rPr>
        <w:rStyle w:val="Sidetal"/>
        <w:rFonts w:ascii="Arial" w:hAnsi="Arial" w:cs="Arial"/>
        <w:sz w:val="20"/>
      </w:rPr>
      <w:instrText xml:space="preserve"> NUMPAGES </w:instrText>
    </w:r>
    <w:r w:rsidR="009625A4" w:rsidRPr="00F146CB">
      <w:rPr>
        <w:rStyle w:val="Sidetal"/>
        <w:rFonts w:ascii="Arial" w:hAnsi="Arial" w:cs="Arial"/>
        <w:sz w:val="20"/>
      </w:rPr>
      <w:fldChar w:fldCharType="separate"/>
    </w:r>
    <w:r w:rsidR="007E1B69">
      <w:rPr>
        <w:rStyle w:val="Sidetal"/>
        <w:rFonts w:ascii="Arial" w:hAnsi="Arial" w:cs="Arial"/>
        <w:noProof/>
        <w:sz w:val="20"/>
      </w:rPr>
      <w:t>3</w:t>
    </w:r>
    <w:r w:rsidR="009625A4" w:rsidRPr="00F146CB">
      <w:rPr>
        <w:rStyle w:val="Sidetal"/>
        <w:rFonts w:ascii="Arial" w:hAnsi="Arial" w:cs="Arial"/>
        <w:sz w:val="20"/>
      </w:rPr>
      <w:fldChar w:fldCharType="end"/>
    </w:r>
  </w:p>
  <w:p w14:paraId="601EBE5E" w14:textId="77777777" w:rsidR="00A22FE3" w:rsidRDefault="00A22FE3" w:rsidP="007769C8">
    <w:pPr>
      <w:pStyle w:val="Sidehoved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4E" w14:textId="77777777" w:rsidR="00F75C80" w:rsidRDefault="00F75C80" w:rsidP="00E95057">
      <w:pPr>
        <w:spacing w:after="0" w:line="240" w:lineRule="auto"/>
      </w:pPr>
      <w:r>
        <w:separator/>
      </w:r>
    </w:p>
  </w:footnote>
  <w:footnote w:type="continuationSeparator" w:id="0">
    <w:p w14:paraId="1A304666" w14:textId="77777777" w:rsidR="00F75C80" w:rsidRDefault="00F75C80" w:rsidP="00E9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8506" w14:textId="77777777" w:rsidR="00A22FE3" w:rsidRPr="00F146CB" w:rsidRDefault="009625A4" w:rsidP="007769C8">
    <w:pPr>
      <w:jc w:val="right"/>
      <w:rPr>
        <w:rFonts w:cs="Arial"/>
        <w:szCs w:val="20"/>
      </w:rPr>
    </w:pPr>
    <w:r>
      <w:rPr>
        <w:rFonts w:cs="Arial"/>
        <w:noProof/>
      </w:rPr>
      <w:drawing>
        <wp:inline distT="0" distB="0" distL="0" distR="0" wp14:anchorId="7372BD75" wp14:editId="13DB245F">
          <wp:extent cx="2333625" cy="695325"/>
          <wp:effectExtent l="19050" t="0" r="9525" b="0"/>
          <wp:docPr id="1" name="Billede 1" descr="Skjold_navn_lille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2567" w14:textId="77777777" w:rsidR="00A22FE3" w:rsidRPr="00F146CB" w:rsidRDefault="00A22FE3">
    <w:pPr>
      <w:pStyle w:val="Sidehoved"/>
      <w:tabs>
        <w:tab w:val="clear" w:pos="4819"/>
      </w:tabs>
      <w:jc w:val="center"/>
      <w:rPr>
        <w:rFonts w:ascii="Arial" w:hAnsi="Arial" w:cs="Arial"/>
        <w:sz w:val="20"/>
      </w:rPr>
    </w:pPr>
  </w:p>
  <w:p w14:paraId="46A19B50" w14:textId="77777777" w:rsidR="00A22FE3" w:rsidRDefault="009625A4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 w:rsidRPr="00F146CB">
      <w:rPr>
        <w:rFonts w:ascii="Arial" w:hAnsi="Arial" w:cs="Arial"/>
        <w:b/>
      </w:rPr>
      <w:t>Kvalitetsstandard</w:t>
    </w:r>
    <w:r>
      <w:rPr>
        <w:rFonts w:ascii="Arial" w:hAnsi="Arial" w:cs="Arial"/>
        <w:b/>
      </w:rPr>
      <w:t xml:space="preserve"> for </w:t>
    </w:r>
  </w:p>
  <w:p w14:paraId="40D01D0F" w14:textId="77777777" w:rsidR="00A22FE3" w:rsidRDefault="009625A4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Længerevarende botilbud</w:t>
    </w:r>
  </w:p>
  <w:p w14:paraId="0AF7AFDB" w14:textId="77777777" w:rsidR="00A22FE3" w:rsidRPr="005D537F" w:rsidRDefault="009625A4">
    <w:pPr>
      <w:pStyle w:val="Sidehoved"/>
      <w:tabs>
        <w:tab w:val="clear" w:pos="4819"/>
      </w:tabs>
      <w:jc w:val="center"/>
      <w:rPr>
        <w:rFonts w:ascii="Arial" w:hAnsi="Arial" w:cs="Arial"/>
        <w:szCs w:val="26"/>
      </w:rPr>
    </w:pPr>
    <w:r>
      <w:rPr>
        <w:rFonts w:ascii="Arial" w:hAnsi="Arial" w:cs="Arial"/>
        <w:b/>
      </w:rPr>
      <w:t>§ 108 i Serviceloven</w:t>
    </w:r>
  </w:p>
  <w:p w14:paraId="5B220B25" w14:textId="77777777" w:rsidR="00A22FE3" w:rsidRPr="00F146CB" w:rsidRDefault="00A22FE3">
    <w:pPr>
      <w:pStyle w:val="Sidehoved"/>
      <w:tabs>
        <w:tab w:val="clear" w:pos="4819"/>
        <w:tab w:val="left" w:pos="411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33F"/>
    <w:multiLevelType w:val="hybridMultilevel"/>
    <w:tmpl w:val="FE9E867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57C1B"/>
    <w:multiLevelType w:val="hybridMultilevel"/>
    <w:tmpl w:val="5F38485A"/>
    <w:lvl w:ilvl="0" w:tplc="FD72C794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Times New Roman" w:hint="default"/>
        <w:strike w:val="0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852"/>
        </w:tabs>
        <w:ind w:left="852" w:hanging="360"/>
      </w:pPr>
    </w:lvl>
    <w:lvl w:ilvl="2" w:tplc="04060005">
      <w:start w:val="1"/>
      <w:numFmt w:val="decimal"/>
      <w:lvlText w:val="%3."/>
      <w:lvlJc w:val="left"/>
      <w:pPr>
        <w:tabs>
          <w:tab w:val="num" w:pos="1572"/>
        </w:tabs>
        <w:ind w:left="1572" w:hanging="360"/>
      </w:pPr>
    </w:lvl>
    <w:lvl w:ilvl="3" w:tplc="0406000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60003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</w:lvl>
    <w:lvl w:ilvl="5" w:tplc="04060005">
      <w:start w:val="1"/>
      <w:numFmt w:val="decimal"/>
      <w:lvlText w:val="%6."/>
      <w:lvlJc w:val="left"/>
      <w:pPr>
        <w:tabs>
          <w:tab w:val="num" w:pos="3732"/>
        </w:tabs>
        <w:ind w:left="3732" w:hanging="360"/>
      </w:pPr>
    </w:lvl>
    <w:lvl w:ilvl="6" w:tplc="0406000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60003">
      <w:start w:val="1"/>
      <w:numFmt w:val="decimal"/>
      <w:lvlText w:val="%8."/>
      <w:lvlJc w:val="left"/>
      <w:pPr>
        <w:tabs>
          <w:tab w:val="num" w:pos="5172"/>
        </w:tabs>
        <w:ind w:left="5172" w:hanging="360"/>
      </w:pPr>
    </w:lvl>
    <w:lvl w:ilvl="8" w:tplc="04060005">
      <w:start w:val="1"/>
      <w:numFmt w:val="decimal"/>
      <w:lvlText w:val="%9."/>
      <w:lvlJc w:val="left"/>
      <w:pPr>
        <w:tabs>
          <w:tab w:val="num" w:pos="5892"/>
        </w:tabs>
        <w:ind w:left="5892" w:hanging="360"/>
      </w:pPr>
    </w:lvl>
  </w:abstractNum>
  <w:abstractNum w:abstractNumId="2" w15:restartNumberingAfterBreak="0">
    <w:nsid w:val="214C22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527E0C"/>
    <w:multiLevelType w:val="hybridMultilevel"/>
    <w:tmpl w:val="DC02DED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D0FCE"/>
    <w:multiLevelType w:val="hybridMultilevel"/>
    <w:tmpl w:val="0136B7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754351">
    <w:abstractNumId w:val="2"/>
  </w:num>
  <w:num w:numId="2" w16cid:durableId="15823687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36780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5794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8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10"/>
    <w:rsid w:val="00022889"/>
    <w:rsid w:val="000E2E55"/>
    <w:rsid w:val="000E5EBB"/>
    <w:rsid w:val="00267210"/>
    <w:rsid w:val="002F54DE"/>
    <w:rsid w:val="003A64F7"/>
    <w:rsid w:val="003E37A5"/>
    <w:rsid w:val="00506CB0"/>
    <w:rsid w:val="007E10C0"/>
    <w:rsid w:val="007E1B69"/>
    <w:rsid w:val="00806A04"/>
    <w:rsid w:val="008E0D8F"/>
    <w:rsid w:val="009625A4"/>
    <w:rsid w:val="00A22FE3"/>
    <w:rsid w:val="00AA31AA"/>
    <w:rsid w:val="00AC6F1B"/>
    <w:rsid w:val="00B062E7"/>
    <w:rsid w:val="00BB590B"/>
    <w:rsid w:val="00C5770E"/>
    <w:rsid w:val="00CA7308"/>
    <w:rsid w:val="00D0735E"/>
    <w:rsid w:val="00D35C89"/>
    <w:rsid w:val="00E95057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B041F0"/>
  <w15:chartTrackingRefBased/>
  <w15:docId w15:val="{BCD9175F-B182-4FA3-AEC8-EE2C0E5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950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dehovedTegn">
    <w:name w:val="Sidehoved Tegn"/>
    <w:basedOn w:val="Standardskrifttypeiafsnit"/>
    <w:link w:val="Sidehoved"/>
    <w:rsid w:val="00E95057"/>
    <w:rPr>
      <w:rFonts w:ascii="Times New Roman" w:eastAsia="Times New Roman" w:hAnsi="Times New Roman" w:cs="Times New Roman"/>
      <w:sz w:val="26"/>
      <w:szCs w:val="20"/>
    </w:rPr>
  </w:style>
  <w:style w:type="character" w:styleId="Sidetal">
    <w:name w:val="page number"/>
    <w:basedOn w:val="Standardskrifttypeiafsnit"/>
    <w:rsid w:val="00E95057"/>
  </w:style>
  <w:style w:type="paragraph" w:customStyle="1" w:styleId="Body1">
    <w:name w:val="Body 1"/>
    <w:basedOn w:val="Normal"/>
    <w:rsid w:val="00E95057"/>
    <w:pPr>
      <w:spacing w:after="200" w:line="276" w:lineRule="auto"/>
    </w:pPr>
    <w:rPr>
      <w:rFonts w:ascii="Helvetica" w:eastAsia="Calibri" w:hAnsi="Helvetica" w:cs="Times New Roman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95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57"/>
  </w:style>
  <w:style w:type="character" w:customStyle="1" w:styleId="Overskrift1Tegn">
    <w:name w:val="Overskrift 1 Tegn"/>
    <w:basedOn w:val="Standardskrifttypeiafsnit"/>
    <w:link w:val="Overskrift1"/>
    <w:uiPriority w:val="9"/>
    <w:rsid w:val="00962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nhideWhenUsed/>
    <w:rsid w:val="00806A0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A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9067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74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rdingborg.dk/kommunen/svarfr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3836</Characters>
  <Application>Microsoft Office Word</Application>
  <DocSecurity>0</DocSecurity>
  <Lines>123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Haupt Holm</dc:creator>
  <cp:keywords/>
  <dc:description/>
  <cp:lastModifiedBy>Ida Agnes Riishøj Edelmark</cp:lastModifiedBy>
  <cp:revision>4</cp:revision>
  <dcterms:created xsi:type="dcterms:W3CDTF">2024-01-16T11:29:00Z</dcterms:created>
  <dcterms:modified xsi:type="dcterms:W3CDTF">2024-02-08T09:26:00Z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{9CE7493E-AC0F-46B6-8234-F4FFD9213311}</vt:lpwstr>
  </property>
</Properties>
</file>